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w:pict>
          <v:shape id="文本框 299" o:spid="_x0000_s3075" o:spt="202" type="#_x0000_t202" style="position:absolute;left:0pt;margin-left:45.7pt;margin-top:-3.3pt;height:46.8pt;width:294.8pt;z-index:251659264;mso-width-relative:margin;mso-height-relative:margin;" stroked="t" coordsize="21600,21600">
            <v:path/>
            <v:fill focussize="0,0"/>
            <v:stroke color="#FFFFFF" joinstyle="miter"/>
            <v:imagedata o:title=""/>
            <o:lock v:ext="edit"/>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Theme="minorEastAsia" w:hAnsiTheme="minorEastAsia" w:eastAsiaTheme="minorEastAsia"/>
          <w:b/>
          <w:snapToGrid w:val="0"/>
          <w:kern w:val="0"/>
          <w:sz w:val="70"/>
          <w:szCs w:val="70"/>
        </w:rPr>
      </w:pPr>
      <w:r>
        <w:rPr>
          <w:rFonts w:hint="eastAsia" w:asciiTheme="minorEastAsia" w:hAnsiTheme="minorEastAsia" w:eastAsiaTheme="minorEastAsia"/>
          <w:b/>
          <w:bCs/>
          <w:snapToGrid w:val="0"/>
          <w:kern w:val="0"/>
          <w:sz w:val="70"/>
          <w:szCs w:val="70"/>
        </w:rPr>
        <w:t>动脉硬化检测装置采购</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货物类招标文件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项目编号：SZZZ2022-QA0141</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p>
    <w:p>
      <w:pPr>
        <w:pStyle w:val="28"/>
        <w:adjustRightInd w:val="0"/>
        <w:snapToGrid w:val="0"/>
        <w:spacing w:line="300" w:lineRule="auto"/>
        <w:jc w:val="center"/>
        <w:rPr>
          <w:rFonts w:ascii="Times New Roman" w:hAnsi="Times New Roman" w:eastAsia="经典等线简"/>
          <w:b/>
          <w:snapToGrid w:val="0"/>
          <w:sz w:val="30"/>
        </w:rPr>
      </w:pPr>
    </w:p>
    <w:p/>
    <w:p/>
    <w:p>
      <w:pPr>
        <w:pStyle w:val="28"/>
        <w:adjustRightInd w:val="0"/>
        <w:snapToGrid w:val="0"/>
        <w:spacing w:line="300" w:lineRule="auto"/>
        <w:ind w:hanging="835"/>
        <w:jc w:val="center"/>
        <w:rPr>
          <w:b/>
          <w:kern w:val="0"/>
          <w:sz w:val="28"/>
          <w:szCs w:val="28"/>
        </w:rPr>
      </w:pPr>
      <w:r>
        <w:rPr>
          <w:rFonts w:hint="eastAsia"/>
          <w:b/>
          <w:snapToGrid w:val="0"/>
          <w:sz w:val="30"/>
        </w:rPr>
        <w:t>二〇二二年</w:t>
      </w:r>
      <w:r>
        <w:rPr>
          <w:rFonts w:hint="eastAsia"/>
          <w:b/>
          <w:snapToGrid w:val="0"/>
          <w:sz w:val="30"/>
          <w:lang w:val="en-US" w:eastAsia="zh-CN"/>
        </w:rPr>
        <w:t>八</w:t>
      </w:r>
      <w:r>
        <w:rPr>
          <w:rFonts w:hint="eastAsia"/>
          <w:b/>
          <w:snapToGrid w:val="0"/>
          <w:sz w:val="30"/>
        </w:rPr>
        <w:t>月</w:t>
      </w:r>
      <w:r>
        <w:rPr>
          <w:b/>
          <w:kern w:val="0"/>
          <w:sz w:val="28"/>
          <w:szCs w:val="28"/>
        </w:rPr>
        <w:br w:type="page"/>
      </w:r>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第五十七条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第七十九条 供应商有下列情形的，属于采购条例所称的串通投标行为，按照采购条例第五十七条有关规定处理：</w:t>
      </w:r>
    </w:p>
    <w:p>
      <w:pPr>
        <w:spacing w:line="440" w:lineRule="exact"/>
        <w:ind w:firstLine="480" w:firstLineChars="200"/>
        <w:rPr>
          <w:rFonts w:ascii="仿宋" w:hAnsi="仿宋" w:eastAsia="仿宋"/>
          <w:sz w:val="24"/>
        </w:rPr>
      </w:pPr>
      <w:r>
        <w:rPr>
          <w:rFonts w:hint="eastAsia" w:ascii="仿宋" w:hAnsi="仿宋" w:eastAsia="仿宋"/>
          <w:sz w:val="24"/>
        </w:rPr>
        <w:t>（一）投标供应商之间相互约定给予未中标的供应商利益补偿；</w:t>
      </w:r>
    </w:p>
    <w:p>
      <w:pPr>
        <w:spacing w:line="440" w:lineRule="exact"/>
        <w:ind w:firstLine="480" w:firstLineChars="200"/>
        <w:rPr>
          <w:rFonts w:ascii="仿宋" w:hAnsi="仿宋" w:eastAsia="仿宋"/>
          <w:sz w:val="24"/>
        </w:rPr>
      </w:pPr>
      <w:r>
        <w:rPr>
          <w:rFonts w:hint="eastAsia" w:ascii="仿宋" w:hAnsi="仿宋" w:eastAsia="仿宋"/>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0" w:firstLineChars="200"/>
        <w:rPr>
          <w:rFonts w:ascii="仿宋" w:hAnsi="仿宋" w:eastAsia="仿宋"/>
          <w:sz w:val="24"/>
        </w:rPr>
      </w:pPr>
      <w:r>
        <w:rPr>
          <w:rFonts w:hint="eastAsia" w:ascii="仿宋" w:hAnsi="仿宋" w:eastAsia="仿宋"/>
          <w:sz w:val="24"/>
        </w:rPr>
        <w:t>（三）不同投标供应商的投标文件由同一单位或者同一人编制，或者由同一人分阶段参与编制的；</w:t>
      </w:r>
    </w:p>
    <w:p>
      <w:pPr>
        <w:spacing w:line="440" w:lineRule="exact"/>
        <w:ind w:firstLine="480" w:firstLineChars="200"/>
        <w:rPr>
          <w:rFonts w:ascii="仿宋" w:hAnsi="仿宋" w:eastAsia="仿宋"/>
          <w:sz w:val="24"/>
        </w:rPr>
      </w:pPr>
      <w:r>
        <w:rPr>
          <w:rFonts w:hint="eastAsia" w:ascii="仿宋" w:hAnsi="仿宋" w:eastAsia="仿宋"/>
          <w:sz w:val="24"/>
        </w:rPr>
        <w:t>（四）不同投标供应商的投标文件或部分投标文件相互混装；</w:t>
      </w:r>
    </w:p>
    <w:p>
      <w:pPr>
        <w:spacing w:line="440" w:lineRule="exact"/>
        <w:ind w:firstLine="480" w:firstLineChars="200"/>
        <w:rPr>
          <w:rFonts w:ascii="仿宋" w:hAnsi="仿宋" w:eastAsia="仿宋"/>
          <w:sz w:val="24"/>
        </w:rPr>
      </w:pPr>
      <w:r>
        <w:rPr>
          <w:rFonts w:hint="eastAsia" w:ascii="仿宋" w:hAnsi="仿宋" w:eastAsia="仿宋"/>
          <w:sz w:val="24"/>
        </w:rPr>
        <w:t>（五）不同投标供应商的投标文件内容存在非正常一致；</w:t>
      </w:r>
    </w:p>
    <w:p>
      <w:pPr>
        <w:spacing w:line="440" w:lineRule="exact"/>
        <w:ind w:firstLine="480" w:firstLineChars="200"/>
        <w:rPr>
          <w:rFonts w:ascii="仿宋" w:hAnsi="仿宋" w:eastAsia="仿宋"/>
          <w:sz w:val="24"/>
        </w:rPr>
      </w:pPr>
      <w:r>
        <w:rPr>
          <w:rFonts w:hint="eastAsia" w:ascii="仿宋" w:hAnsi="仿宋" w:eastAsia="仿宋"/>
          <w:sz w:val="24"/>
        </w:rPr>
        <w:t>（六）由同一单位工作人员为两家以上（含两家）供应商进行同一项投标活动的；</w:t>
      </w:r>
    </w:p>
    <w:p>
      <w:pPr>
        <w:spacing w:line="440" w:lineRule="exact"/>
        <w:ind w:firstLine="480" w:firstLineChars="200"/>
        <w:rPr>
          <w:rFonts w:ascii="仿宋" w:hAnsi="仿宋" w:eastAsia="仿宋"/>
          <w:sz w:val="24"/>
        </w:rPr>
      </w:pPr>
      <w:r>
        <w:rPr>
          <w:rFonts w:hint="eastAsia" w:ascii="仿宋" w:hAnsi="仿宋" w:eastAsia="仿宋"/>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_GB2312" w:eastAsia="仿宋_GB2312" w:hAnsiTheme="minorEastAsia"/>
          <w:b/>
          <w:color w:val="FF0000"/>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r>
        <w:rPr>
          <w:rFonts w:hint="eastAsia" w:ascii="仿宋" w:hAnsi="仿宋" w:eastAsia="仿宋"/>
          <w:sz w:val="24"/>
        </w:rPr>
        <w:cr/>
      </w:r>
    </w:p>
    <w:sdt>
      <w:sdtPr>
        <w:rPr>
          <w:rFonts w:ascii="Times New Roman" w:hAnsi="Times New Roman" w:eastAsia="宋体" w:cs="Times New Roman"/>
          <w:b w:val="0"/>
          <w:bCs w:val="0"/>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color w:val="auto"/>
          <w:kern w:val="2"/>
          <w:sz w:val="21"/>
          <w:szCs w:val="24"/>
          <w:lang w:val="en-US"/>
        </w:rPr>
      </w:sdtEndPr>
      <w:sdtContent>
        <w:p>
          <w:pPr>
            <w:pStyle w:val="504"/>
            <w:jc w:val="center"/>
            <w:rPr>
              <w:color w:val="auto"/>
              <w:lang w:val="zh-CN"/>
            </w:rPr>
          </w:pPr>
          <w:r>
            <w:rPr>
              <w:color w:val="auto"/>
              <w:lang w:val="zh-CN"/>
            </w:rPr>
            <w:t>目录</w:t>
          </w:r>
        </w:p>
        <w:p>
          <w:pPr>
            <w:rPr>
              <w:lang w:val="zh-CN"/>
            </w:rPr>
          </w:pP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TOC \o "1-3" \h \z \u </w:instrText>
          </w:r>
          <w:r>
            <w:fldChar w:fldCharType="separate"/>
          </w:r>
          <w:r>
            <w:fldChar w:fldCharType="begin"/>
          </w:r>
          <w:r>
            <w:instrText xml:space="preserve"> HYPERLINK \l "_Toc73610135"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_Toc73610135 \h </w:instrText>
          </w:r>
          <w:r>
            <w:rPr>
              <w:rFonts w:hint="eastAsia" w:ascii="仿宋_GB2312" w:eastAsia="仿宋_GB2312"/>
              <w:sz w:val="24"/>
            </w:rPr>
            <w:fldChar w:fldCharType="separate"/>
          </w:r>
          <w:r>
            <w:rPr>
              <w:rFonts w:hint="eastAsia"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"_Toc73610136"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_Toc73610136 \h </w:instrText>
          </w:r>
          <w:r>
            <w:rPr>
              <w:rFonts w:hint="eastAsia" w:ascii="仿宋_GB2312" w:eastAsia="仿宋_GB2312"/>
              <w:sz w:val="24"/>
            </w:rPr>
            <w:fldChar w:fldCharType="separate"/>
          </w:r>
          <w:r>
            <w:rPr>
              <w:rFonts w:hint="eastAsia" w:ascii="仿宋_GB2312" w:eastAsia="仿宋_GB2312"/>
              <w:sz w:val="24"/>
            </w:rPr>
            <w:t>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"_Toc73610140"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_Toc73610140 \h </w:instrText>
          </w:r>
          <w:r>
            <w:rPr>
              <w:rFonts w:hint="eastAsia" w:ascii="仿宋_GB2312" w:eastAsia="仿宋_GB2312"/>
              <w:sz w:val="24"/>
            </w:rPr>
            <w:fldChar w:fldCharType="separate"/>
          </w:r>
          <w:r>
            <w:rPr>
              <w:rFonts w:hint="eastAsia" w:ascii="仿宋_GB2312" w:eastAsia="仿宋_GB2312"/>
              <w:sz w:val="24"/>
            </w:rPr>
            <w:t>16</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"_Toc73610141"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_Toc73610141 \h </w:instrText>
          </w:r>
          <w:r>
            <w:rPr>
              <w:rFonts w:hint="eastAsia" w:ascii="仿宋_GB2312" w:eastAsia="仿宋_GB2312"/>
              <w:sz w:val="24"/>
            </w:rPr>
            <w:fldChar w:fldCharType="separate"/>
          </w:r>
          <w:r>
            <w:rPr>
              <w:rFonts w:hint="eastAsia" w:ascii="仿宋_GB2312" w:eastAsia="仿宋_GB2312"/>
              <w:sz w:val="24"/>
            </w:rPr>
            <w:t>17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"_Toc73610142"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_Toc73610142 \h </w:instrText>
          </w:r>
          <w:r>
            <w:rPr>
              <w:rFonts w:hint="eastAsia" w:ascii="仿宋_GB2312" w:eastAsia="仿宋_GB2312"/>
              <w:sz w:val="24"/>
            </w:rPr>
            <w:fldChar w:fldCharType="separate"/>
          </w:r>
          <w:r>
            <w:rPr>
              <w:rFonts w:hint="eastAsia" w:ascii="仿宋_GB2312" w:eastAsia="仿宋_GB2312"/>
              <w:sz w:val="24"/>
            </w:rPr>
            <w:t>17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"_Toc73610143"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_Toc73610143 \h </w:instrText>
          </w:r>
          <w:r>
            <w:rPr>
              <w:rFonts w:hint="eastAsia" w:ascii="仿宋_GB2312" w:eastAsia="仿宋_GB2312"/>
              <w:sz w:val="24"/>
            </w:rPr>
            <w:fldChar w:fldCharType="separate"/>
          </w:r>
          <w:r>
            <w:rPr>
              <w:rFonts w:hint="eastAsia" w:ascii="仿宋_GB2312" w:eastAsia="仿宋_GB2312"/>
              <w:sz w:val="24"/>
            </w:rPr>
            <w:t>17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"_Toc73610144"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_Toc73610144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80" w:lineRule="exact"/>
            <w:rPr>
              <w:rFonts w:ascii="仿宋_GB2312" w:eastAsia="仿宋_GB2312" w:hAnsiTheme="minorHAnsi" w:cstheme="minorBidi"/>
              <w:iCs w:val="0"/>
              <w:sz w:val="24"/>
            </w:rPr>
          </w:pPr>
          <w:r>
            <w:fldChar w:fldCharType="begin"/>
          </w:r>
          <w:r>
            <w:instrText xml:space="preserve"> HYPERLINK \l "_Toc73610145"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_Toc73610145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80" w:lineRule="exact"/>
            <w:rPr>
              <w:rFonts w:ascii="仿宋_GB2312" w:eastAsia="仿宋_GB2312" w:hAnsiTheme="minorHAnsi" w:cstheme="minorBidi"/>
              <w:iCs w:val="0"/>
              <w:sz w:val="24"/>
            </w:rPr>
          </w:pPr>
          <w:r>
            <w:fldChar w:fldCharType="begin"/>
          </w:r>
          <w:r>
            <w:instrText xml:space="preserve"> HYPERLINK \l "_Toc73610146" </w:instrText>
          </w:r>
          <w:r>
            <w:fldChar w:fldCharType="separate"/>
          </w:r>
          <w:r>
            <w:rPr>
              <w:rStyle w:val="57"/>
              <w:rFonts w:hint="eastAsia" w:ascii="仿宋_GB2312" w:eastAsia="仿宋_GB2312" w:hAnsiTheme="minorEastAsia"/>
              <w:sz w:val="24"/>
            </w:rPr>
            <w:t>2、政府采购优惠政策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_Toc73610146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"_Toc73610147"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_Toc73610147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"_Toc73610148"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_Toc73610148 \h </w:instrText>
          </w:r>
          <w:r>
            <w:rPr>
              <w:rFonts w:hint="eastAsia" w:ascii="仿宋_GB2312" w:eastAsia="仿宋_GB2312"/>
              <w:sz w:val="24"/>
            </w:rPr>
            <w:fldChar w:fldCharType="separate"/>
          </w:r>
          <w:r>
            <w:rPr>
              <w:rFonts w:hint="eastAsia" w:ascii="仿宋_GB2312" w:eastAsia="仿宋_GB2312"/>
              <w:sz w:val="24"/>
            </w:rPr>
            <w:t>23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"_Toc73610149"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_Toc73610149 \h </w:instrText>
          </w:r>
          <w:r>
            <w:rPr>
              <w:rFonts w:hint="eastAsia" w:ascii="仿宋_GB2312" w:eastAsia="仿宋_GB2312"/>
              <w:sz w:val="24"/>
            </w:rPr>
            <w:fldChar w:fldCharType="separate"/>
          </w:r>
          <w:r>
            <w:rPr>
              <w:rFonts w:hint="eastAsia" w:ascii="仿宋_GB2312" w:eastAsia="仿宋_GB2312"/>
              <w:sz w:val="24"/>
            </w:rPr>
            <w:t>23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"_Toc73610150"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_Toc73610150 \h </w:instrText>
          </w:r>
          <w:r>
            <w:rPr>
              <w:rFonts w:hint="eastAsia" w:ascii="仿宋_GB2312" w:eastAsia="仿宋_GB2312"/>
              <w:sz w:val="24"/>
            </w:rPr>
            <w:fldChar w:fldCharType="separate"/>
          </w:r>
          <w:r>
            <w:rPr>
              <w:rFonts w:hint="eastAsia"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"_Toc73610151"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_Toc73610151 \h </w:instrText>
          </w:r>
          <w:r>
            <w:rPr>
              <w:rFonts w:hint="eastAsia" w:ascii="仿宋_GB2312" w:eastAsia="仿宋_GB2312"/>
              <w:sz w:val="24"/>
            </w:rPr>
            <w:fldChar w:fldCharType="separate"/>
          </w:r>
          <w:r>
            <w:rPr>
              <w:rFonts w:hint="eastAsia" w:ascii="仿宋_GB2312" w:eastAsia="仿宋_GB2312"/>
              <w:sz w:val="24"/>
            </w:rPr>
            <w:t>26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"_Toc73610152"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_Toc73610152 \h </w:instrText>
          </w:r>
          <w:r>
            <w:rPr>
              <w:rFonts w:hint="eastAsia" w:ascii="仿宋_GB2312" w:eastAsia="仿宋_GB2312"/>
              <w:sz w:val="24"/>
            </w:rPr>
            <w:fldChar w:fldCharType="separate"/>
          </w:r>
          <w:r>
            <w:rPr>
              <w:rFonts w:hint="eastAsia" w:ascii="仿宋_GB2312" w:eastAsia="仿宋_GB2312"/>
              <w:sz w:val="24"/>
            </w:rPr>
            <w:t>28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"_Toc73610153"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_Toc73610153 \h </w:instrText>
          </w:r>
          <w:r>
            <w:rPr>
              <w:rFonts w:hint="eastAsia" w:ascii="仿宋_GB2312" w:eastAsia="仿宋_GB2312"/>
              <w:sz w:val="24"/>
            </w:rPr>
            <w:fldChar w:fldCharType="separate"/>
          </w:r>
          <w:r>
            <w:rPr>
              <w:rFonts w:hint="eastAsia" w:ascii="仿宋_GB2312" w:eastAsia="仿宋_GB2312"/>
              <w:sz w:val="24"/>
            </w:rPr>
            <w:t>30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"_Toc73610154"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_Toc73610154 \h </w:instrText>
          </w:r>
          <w:r>
            <w:rPr>
              <w:rFonts w:hint="eastAsia" w:ascii="仿宋_GB2312" w:eastAsia="仿宋_GB2312"/>
              <w:sz w:val="24"/>
            </w:rPr>
            <w:fldChar w:fldCharType="separate"/>
          </w:r>
          <w:r>
            <w:rPr>
              <w:rFonts w:hint="eastAsia" w:ascii="仿宋_GB2312" w:eastAsia="仿宋_GB2312"/>
              <w:sz w:val="24"/>
            </w:rPr>
            <w:t>32</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"_Toc73610155"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_Toc73610155 \h </w:instrText>
          </w:r>
          <w:r>
            <w:rPr>
              <w:rFonts w:hint="eastAsia" w:ascii="仿宋_GB2312" w:eastAsia="仿宋_GB2312"/>
              <w:sz w:val="24"/>
            </w:rPr>
            <w:fldChar w:fldCharType="separate"/>
          </w:r>
          <w:r>
            <w:rPr>
              <w:rFonts w:hint="eastAsia" w:ascii="仿宋_GB2312" w:eastAsia="仿宋_GB2312"/>
              <w:sz w:val="24"/>
            </w:rPr>
            <w:t>34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"_Toc73610156"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_Toc73610156 \h </w:instrText>
          </w:r>
          <w:r>
            <w:rPr>
              <w:rFonts w:hint="eastAsia" w:ascii="仿宋_GB2312" w:eastAsia="仿宋_GB2312"/>
              <w:sz w:val="24"/>
            </w:rPr>
            <w:fldChar w:fldCharType="separate"/>
          </w:r>
          <w:r>
            <w:rPr>
              <w:rFonts w:hint="eastAsia" w:ascii="仿宋_GB2312" w:eastAsia="仿宋_GB2312"/>
              <w:sz w:val="24"/>
            </w:rPr>
            <w:t>34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"_Toc73610157"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_Toc73610157 \h </w:instrText>
          </w:r>
          <w:r>
            <w:rPr>
              <w:rFonts w:hint="eastAsia" w:ascii="仿宋_GB2312" w:eastAsia="仿宋_GB2312"/>
              <w:sz w:val="24"/>
            </w:rPr>
            <w:fldChar w:fldCharType="separate"/>
          </w:r>
          <w:r>
            <w:rPr>
              <w:rFonts w:hint="eastAsia" w:ascii="仿宋_GB2312" w:eastAsia="仿宋_GB2312"/>
              <w:sz w:val="24"/>
            </w:rPr>
            <w:t>36</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"_Toc73610160" </w:instrText>
          </w:r>
          <w:r>
            <w:fldChar w:fldCharType="separate"/>
          </w:r>
          <w:r>
            <w:rPr>
              <w:rStyle w:val="57"/>
              <w:rFonts w:hint="eastAsia" w:ascii="仿宋_GB2312" w:eastAsia="仿宋_GB2312"/>
              <w:sz w:val="24"/>
            </w:rPr>
            <w:t>第八章  合同条款</w:t>
          </w:r>
          <w:bookmarkStart w:id="88" w:name="_GoBack"/>
          <w:bookmarkEnd w:id="88"/>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_Toc73610160 \h </w:instrText>
          </w:r>
          <w:r>
            <w:rPr>
              <w:rFonts w:hint="eastAsia" w:ascii="仿宋_GB2312" w:eastAsia="仿宋_GB2312"/>
              <w:sz w:val="24"/>
            </w:rPr>
            <w:fldChar w:fldCharType="separate"/>
          </w:r>
          <w:r>
            <w:rPr>
              <w:rFonts w:hint="eastAsia" w:ascii="仿宋_GB2312" w:eastAsia="仿宋_GB2312"/>
              <w:sz w:val="24"/>
            </w:rPr>
            <w:t>62</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"_Toc73610161"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_Toc73610161 \h </w:instrText>
          </w:r>
          <w:r>
            <w:rPr>
              <w:rFonts w:hint="eastAsia" w:ascii="仿宋_GB2312" w:eastAsia="仿宋_GB2312"/>
              <w:sz w:val="24"/>
            </w:rPr>
            <w:fldChar w:fldCharType="separate"/>
          </w:r>
          <w:r>
            <w:rPr>
              <w:rFonts w:hint="eastAsia" w:ascii="仿宋_GB2312" w:eastAsia="仿宋_GB2312"/>
              <w:sz w:val="24"/>
            </w:rPr>
            <w:t>79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"_Toc73610162"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_Toc73610162 \h </w:instrText>
          </w:r>
          <w:r>
            <w:rPr>
              <w:rFonts w:hint="eastAsia" w:ascii="仿宋_GB2312" w:eastAsia="仿宋_GB2312"/>
              <w:sz w:val="24"/>
            </w:rPr>
            <w:fldChar w:fldCharType="separate"/>
          </w:r>
          <w:r>
            <w:rPr>
              <w:rFonts w:hint="eastAsia" w:ascii="仿宋_GB2312" w:eastAsia="仿宋_GB2312"/>
              <w:sz w:val="24"/>
            </w:rPr>
            <w:t>79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"_Toc73610163"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_Toc73610163 \h </w:instrText>
          </w:r>
          <w:r>
            <w:rPr>
              <w:rFonts w:hint="eastAsia" w:ascii="仿宋_GB2312" w:eastAsia="仿宋_GB2312"/>
              <w:sz w:val="24"/>
            </w:rPr>
            <w:fldChar w:fldCharType="separate"/>
          </w:r>
          <w:r>
            <w:rPr>
              <w:rFonts w:hint="eastAsia" w:ascii="仿宋_GB2312" w:eastAsia="仿宋_GB2312"/>
              <w:sz w:val="24"/>
            </w:rPr>
            <w:t>83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"_Toc73610164" </w:instrText>
          </w:r>
          <w:r>
            <w:fldChar w:fldCharType="separate"/>
          </w:r>
          <w:r>
            <w:rPr>
              <w:rStyle w:val="57"/>
              <w:rFonts w:hint="eastAsia" w:ascii="仿宋_GB2312" w:eastAsia="仿宋_GB2312" w:hAnsiTheme="minorEastAsia"/>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_Toc73610164 \h </w:instrText>
          </w:r>
          <w:r>
            <w:rPr>
              <w:rFonts w:hint="eastAsia" w:ascii="仿宋_GB2312" w:eastAsia="仿宋_GB2312"/>
              <w:sz w:val="24"/>
            </w:rPr>
            <w:fldChar w:fldCharType="separate"/>
          </w:r>
          <w:r>
            <w:rPr>
              <w:rFonts w:hint="eastAsia" w:ascii="仿宋_GB2312" w:eastAsia="仿宋_GB2312"/>
              <w:sz w:val="24"/>
            </w:rPr>
            <w:t>86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Theme="minorHAnsi" w:hAnsiTheme="minorHAnsi" w:eastAsiaTheme="minorEastAsia" w:cstheme="minorBidi"/>
              <w:iCs/>
              <w:szCs w:val="22"/>
            </w:rPr>
          </w:pPr>
          <w:r>
            <w:fldChar w:fldCharType="begin"/>
          </w:r>
          <w:r>
            <w:instrText xml:space="preserve"> HYPERLINK \l "_Toc73610165"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_Toc73610165 \h </w:instrText>
          </w:r>
          <w:r>
            <w:rPr>
              <w:rFonts w:hint="eastAsia" w:ascii="仿宋_GB2312" w:eastAsia="仿宋_GB2312"/>
              <w:sz w:val="24"/>
            </w:rPr>
            <w:fldChar w:fldCharType="separate"/>
          </w:r>
          <w:r>
            <w:rPr>
              <w:rFonts w:hint="eastAsia" w:ascii="仿宋_GB2312" w:eastAsia="仿宋_GB2312"/>
              <w:sz w:val="24"/>
            </w:rPr>
            <w:t>89</w:t>
          </w:r>
          <w:r>
            <w:rPr>
              <w:rFonts w:hint="eastAsia" w:ascii="仿宋_GB2312" w:eastAsia="仿宋_GB2312"/>
              <w:sz w:val="24"/>
            </w:rPr>
            <w:fldChar w:fldCharType="end"/>
          </w:r>
          <w:r>
            <w:rPr>
              <w:rFonts w:hint="eastAsia" w:ascii="仿宋_GB2312" w:eastAsia="仿宋_GB2312"/>
              <w:sz w:val="24"/>
            </w:rPr>
            <w:fldChar w:fldCharType="end"/>
          </w:r>
        </w:p>
        <w:p>
          <w:r>
            <w:fldChar w:fldCharType="end"/>
          </w:r>
        </w:p>
      </w:sdtContent>
    </w:sdt>
    <w:p>
      <w:pPr>
        <w:widowControl/>
        <w:jc w:val="left"/>
      </w:pPr>
      <w:r>
        <w:br w:type="page"/>
      </w:r>
    </w:p>
    <w:p>
      <w:pPr>
        <w:pStyle w:val="2"/>
      </w:pPr>
      <w:bookmarkStart w:id="0" w:name="_Toc73610135"/>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动脉硬化检测装置采购</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2022年</w:t>
      </w:r>
      <w:r>
        <w:rPr>
          <w:rFonts w:hint="eastAsia" w:ascii="宋体" w:hAnsi="宋体" w:cs="Arial Unicode MS"/>
          <w:snapToGrid w:val="0"/>
          <w:kern w:val="0"/>
          <w:szCs w:val="21"/>
          <w:u w:val="single"/>
          <w:lang w:val="en-US" w:eastAsia="zh-CN"/>
        </w:rPr>
        <w:t>8</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19</w:t>
      </w:r>
      <w:r>
        <w:rPr>
          <w:rFonts w:hint="eastAsia" w:ascii="宋体" w:hAnsi="宋体" w:cs="Arial Unicode MS"/>
          <w:snapToGrid w:val="0"/>
          <w:kern w:val="0"/>
          <w:szCs w:val="21"/>
          <w:u w:val="single"/>
        </w:rPr>
        <w:t>日</w:t>
      </w:r>
      <w:r>
        <w:rPr>
          <w:rFonts w:hint="eastAsia" w:ascii="宋体" w:hAnsi="宋体" w:cs="Arial Unicode MS"/>
          <w:snapToGrid w:val="0"/>
          <w:kern w:val="0"/>
          <w:szCs w:val="21"/>
          <w:u w:val="single"/>
          <w:lang w:val="en-US" w:eastAsia="zh-CN"/>
        </w:rPr>
        <w:t>09</w:t>
      </w:r>
      <w:r>
        <w:rPr>
          <w:rFonts w:hint="eastAsia" w:ascii="宋体" w:hAnsi="宋体" w:cs="Arial Unicode MS"/>
          <w:snapToGrid w:val="0"/>
          <w:kern w:val="0"/>
          <w:szCs w:val="21"/>
          <w:u w:val="single"/>
        </w:rPr>
        <w:t>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Theme="minorEastAsia" w:hAnsiTheme="minorEastAsia" w:eastAsiaTheme="minorEastAsia"/>
          <w:sz w:val="21"/>
          <w:szCs w:val="21"/>
        </w:rPr>
        <w:t>SZZZ2022-QA0141</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2、项目名称：动脉硬化检测装置采购</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30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30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708"/>
        <w:gridCol w:w="3120"/>
        <w:gridCol w:w="779"/>
        <w:gridCol w:w="779"/>
        <w:gridCol w:w="326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120" w:type="dxa"/>
            <w:shd w:val="clear" w:color="auto" w:fill="ABCDEF"/>
            <w:vAlign w:val="center"/>
          </w:tcPr>
          <w:p>
            <w:pPr>
              <w:pStyle w:val="45"/>
              <w:spacing w:line="360" w:lineRule="auto"/>
              <w:jc w:val="center"/>
              <w:rPr>
                <w:sz w:val="21"/>
              </w:rPr>
            </w:pPr>
            <w:r>
              <w:rPr>
                <w:sz w:val="21"/>
              </w:rPr>
              <w:t>标的名称</w:t>
            </w:r>
          </w:p>
        </w:tc>
        <w:tc>
          <w:tcPr>
            <w:tcW w:w="779"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779"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3261"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134"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3120" w:type="dxa"/>
            <w:shd w:val="clear" w:color="auto" w:fill="auto"/>
            <w:vAlign w:val="center"/>
          </w:tcPr>
          <w:p>
            <w:pPr>
              <w:pStyle w:val="45"/>
              <w:spacing w:line="360" w:lineRule="auto"/>
              <w:jc w:val="center"/>
              <w:rPr>
                <w:rFonts w:asciiTheme="minorEastAsia" w:hAnsiTheme="minorEastAsia" w:eastAsiaTheme="minorEastAsia"/>
                <w:sz w:val="21"/>
                <w:szCs w:val="21"/>
              </w:rPr>
            </w:pPr>
            <w:r>
              <w:rPr>
                <w:rFonts w:hint="eastAsia" w:ascii="宋体" w:hAnsi="宋体" w:cs="宋体" w:eastAsiaTheme="minorEastAsia"/>
                <w:sz w:val="21"/>
                <w:szCs w:val="21"/>
              </w:rPr>
              <w:t>动脉硬化检测装置采购</w:t>
            </w:r>
          </w:p>
        </w:tc>
        <w:tc>
          <w:tcPr>
            <w:tcW w:w="779"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779"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台</w:t>
            </w:r>
          </w:p>
        </w:tc>
        <w:tc>
          <w:tcPr>
            <w:tcW w:w="3261" w:type="dxa"/>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134" w:type="dxa"/>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w:t>
      </w:r>
      <w:r>
        <w:rPr>
          <w:rFonts w:hint="eastAsia" w:asciiTheme="minorEastAsia" w:hAnsiTheme="minorEastAsia" w:eastAsiaTheme="minorEastAsia"/>
          <w:sz w:val="21"/>
          <w:szCs w:val="21"/>
          <w:lang w:val="en-US" w:eastAsia="zh-CN"/>
        </w:rPr>
        <w:t>详见招标文件</w:t>
      </w:r>
      <w:r>
        <w:rPr>
          <w:rFonts w:hint="eastAsia" w:asciiTheme="minorEastAsia" w:hAnsiTheme="minorEastAsia" w:eastAsiaTheme="minorEastAsia"/>
          <w:sz w:val="21"/>
          <w:szCs w:val="21"/>
        </w:rPr>
        <w:t>。</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投标人未被列入失信被执行人、重大税收违法案件当事人名单及政府采购严重违法失信行为记录名单（“信用中国”（www.creditchina.gov.cn）“信用服务”栏的“重大税收违法失信主体”、“失信被执行人”，“中国政府采购”（www.ccgp.gov.cn）“政府采购严重违法失信行为记录名单”，“深圳信用网”（www.szcredit.com.cn）以及“深圳市政府采购监管网”（zfcg.sz.gov.cn）为投标人信用信息查询渠道，相关信息以开标当日的查询结果为准。由采购代理机构查询，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（6）本项目不接受联合体投标，不允许分包或转包；</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（7）本项目不接受进口产品投标（进口产品是指通过中国海关报关验放进入中国境内且产自关境外的产品，相关内容以“财库【2007】119号文”和“财办库【2008】248号文”的相关规定为准）。</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8</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8</w:t>
      </w:r>
      <w:r>
        <w:rPr>
          <w:rFonts w:hint="eastAsia" w:ascii="宋体" w:hAnsi="宋体" w:eastAsia="宋体"/>
          <w:snapToGrid w:val="0"/>
          <w:color w:val="auto"/>
          <w:sz w:val="21"/>
          <w:szCs w:val="21"/>
          <w:u w:val="single"/>
        </w:rPr>
        <w:t>日至2022年</w:t>
      </w:r>
      <w:r>
        <w:rPr>
          <w:rFonts w:hint="eastAsia" w:ascii="宋体" w:hAnsi="宋体" w:eastAsia="宋体"/>
          <w:snapToGrid w:val="0"/>
          <w:color w:val="auto"/>
          <w:sz w:val="21"/>
          <w:szCs w:val="21"/>
          <w:u w:val="single"/>
          <w:lang w:val="en-US" w:eastAsia="zh-CN"/>
        </w:rPr>
        <w:t>8</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15</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开户银行：上海银行深圳分行天安支行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8</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19</w:t>
      </w:r>
      <w:r>
        <w:rPr>
          <w:rFonts w:hint="eastAsia" w:ascii="宋体" w:hAnsi="宋体" w:eastAsia="宋体"/>
          <w:snapToGrid w:val="0"/>
          <w:color w:val="auto"/>
          <w:sz w:val="21"/>
          <w:szCs w:val="21"/>
          <w:u w:val="single"/>
        </w:rPr>
        <w:t>日</w:t>
      </w:r>
      <w:r>
        <w:rPr>
          <w:rFonts w:hint="eastAsia" w:ascii="宋体" w:hAnsi="宋体" w:eastAsia="宋体"/>
          <w:snapToGrid w:val="0"/>
          <w:color w:val="auto"/>
          <w:sz w:val="21"/>
          <w:szCs w:val="21"/>
          <w:u w:val="single"/>
          <w:lang w:val="en-US" w:eastAsia="zh-CN"/>
        </w:rPr>
        <w:t>09</w:t>
      </w:r>
      <w:r>
        <w:rPr>
          <w:rFonts w:hint="eastAsia" w:ascii="宋体" w:hAnsi="宋体" w:eastAsia="宋体"/>
          <w:snapToGrid w:val="0"/>
          <w:color w:val="auto"/>
          <w:sz w:val="21"/>
          <w:szCs w:val="21"/>
          <w:u w:val="single"/>
        </w:rPr>
        <w:t>点30分（北京时间）</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1、凡参与深圳市政府采购活动的供应商，应自行在深圳公共资源交易中心网站上办理注册（注册网址：</w:t>
      </w:r>
      <w:r>
        <w:rPr>
          <w:rFonts w:asciiTheme="minorEastAsia" w:hAnsiTheme="minorEastAsia" w:eastAsiaTheme="minorEastAsia"/>
          <w:b/>
          <w:snapToGrid w:val="0"/>
          <w:color w:val="auto"/>
          <w:sz w:val="21"/>
        </w:rPr>
        <w:t>www.szzfcg.cn</w:t>
      </w:r>
      <w:r>
        <w:rPr>
          <w:rFonts w:hint="eastAsia" w:ascii="宋体" w:hAnsi="宋体" w:eastAsia="宋体"/>
          <w:b/>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、《关于环境标志产品政府采购实施的意见》（财库〔</w:t>
      </w:r>
      <w:r>
        <w:rPr>
          <w:rFonts w:ascii="宋体" w:hAnsi="宋体" w:eastAsia="宋体"/>
          <w:snapToGrid w:val="0"/>
          <w:color w:val="auto"/>
          <w:sz w:val="21"/>
          <w:szCs w:val="21"/>
        </w:rPr>
        <w:t>2006</w:t>
      </w:r>
      <w:r>
        <w:rPr>
          <w:rFonts w:hint="eastAsia" w:ascii="宋体" w:hAnsi="宋体" w:eastAsia="宋体"/>
          <w:snapToGrid w:val="0"/>
          <w:color w:val="auto"/>
          <w:sz w:val="21"/>
          <w:szCs w:val="21"/>
        </w:rPr>
        <w:t>〕</w:t>
      </w:r>
      <w:r>
        <w:rPr>
          <w:rFonts w:ascii="宋体" w:hAnsi="宋体" w:eastAsia="宋体"/>
          <w:snapToGrid w:val="0"/>
          <w:color w:val="auto"/>
          <w:sz w:val="21"/>
          <w:szCs w:val="21"/>
        </w:rPr>
        <w:t>90</w:t>
      </w:r>
      <w:r>
        <w:rPr>
          <w:rFonts w:hint="eastAsia" w:ascii="宋体" w:hAnsi="宋体" w:eastAsia="宋体"/>
          <w:snapToGrid w:val="0"/>
          <w:color w:val="auto"/>
          <w:sz w:val="21"/>
          <w:szCs w:val="21"/>
        </w:rPr>
        <w:t>号）、《关于印发&lt;节能产品政府采购实施意见&gt;的通知》（财库〔</w:t>
      </w:r>
      <w:r>
        <w:rPr>
          <w:rFonts w:ascii="宋体" w:hAnsi="宋体" w:eastAsia="宋体"/>
          <w:snapToGrid w:val="0"/>
          <w:color w:val="auto"/>
          <w:sz w:val="21"/>
          <w:szCs w:val="21"/>
        </w:rPr>
        <w:t>2004</w:t>
      </w:r>
      <w:r>
        <w:rPr>
          <w:rFonts w:hint="eastAsia" w:ascii="宋体" w:hAnsi="宋体" w:eastAsia="宋体"/>
          <w:snapToGrid w:val="0"/>
          <w:color w:val="auto"/>
          <w:sz w:val="21"/>
          <w:szCs w:val="21"/>
        </w:rPr>
        <w:t>〕</w:t>
      </w:r>
      <w:r>
        <w:rPr>
          <w:rFonts w:ascii="宋体" w:hAnsi="宋体" w:eastAsia="宋体"/>
          <w:snapToGrid w:val="0"/>
          <w:color w:val="auto"/>
          <w:sz w:val="21"/>
          <w:szCs w:val="21"/>
        </w:rPr>
        <w:t>185</w:t>
      </w:r>
      <w:r>
        <w:rPr>
          <w:rFonts w:hint="eastAsia" w:ascii="宋体" w:hAnsi="宋体" w:eastAsia="宋体"/>
          <w:snapToGrid w:val="0"/>
          <w:color w:val="auto"/>
          <w:sz w:val="21"/>
          <w:szCs w:val="21"/>
        </w:rPr>
        <w:t>号）、《关于调整优化节能产品、环境标志产品政府采购执行机制的通知》（财库〔</w:t>
      </w:r>
      <w:r>
        <w:rPr>
          <w:rFonts w:ascii="宋体" w:hAnsi="宋体" w:eastAsia="宋体"/>
          <w:snapToGrid w:val="0"/>
          <w:color w:val="auto"/>
          <w:sz w:val="21"/>
          <w:szCs w:val="21"/>
        </w:rPr>
        <w:t>2019</w:t>
      </w:r>
      <w:r>
        <w:rPr>
          <w:rFonts w:hint="eastAsia" w:ascii="宋体" w:hAnsi="宋体" w:eastAsia="宋体"/>
          <w:snapToGrid w:val="0"/>
          <w:color w:val="auto"/>
          <w:sz w:val="21"/>
          <w:szCs w:val="21"/>
        </w:rPr>
        <w:t>〕</w:t>
      </w:r>
      <w:r>
        <w:rPr>
          <w:rFonts w:ascii="宋体" w:hAnsi="宋体" w:eastAsia="宋体"/>
          <w:snapToGrid w:val="0"/>
          <w:color w:val="auto"/>
          <w:sz w:val="21"/>
          <w:szCs w:val="21"/>
        </w:rPr>
        <w:t>9</w:t>
      </w:r>
      <w:r>
        <w:rPr>
          <w:rFonts w:hint="eastAsia" w:ascii="宋体" w:hAnsi="宋体" w:eastAsia="宋体"/>
          <w:snapToGrid w:val="0"/>
          <w:color w:val="auto"/>
          <w:sz w:val="21"/>
          <w:szCs w:val="21"/>
        </w:rPr>
        <w:t>号）。</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w:t>
      </w:r>
      <w:r>
        <w:rPr>
          <w:rFonts w:hint="eastAsia" w:ascii="宋体" w:hAnsi="宋体" w:eastAsia="宋体" w:cs="宋体"/>
          <w:sz w:val="21"/>
          <w:szCs w:val="21"/>
          <w:shd w:val="clear" w:color="auto" w:fill="FFFFFF"/>
        </w:rPr>
        <w:t>中山大学附属第八医院（深圳福田）</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w:t>
      </w:r>
      <w:r>
        <w:rPr>
          <w:rFonts w:hint="eastAsia" w:ascii="宋体" w:hAnsi="宋体" w:eastAsia="宋体" w:cs="宋体"/>
          <w:sz w:val="21"/>
          <w:szCs w:val="21"/>
          <w:shd w:val="clear" w:color="auto" w:fill="FFFFFF"/>
        </w:rPr>
        <w:t>深圳市福田区福田街道深南中路</w:t>
      </w:r>
      <w:r>
        <w:rPr>
          <w:rFonts w:hint="eastAsia" w:ascii="Arial" w:hAnsi="Arial" w:eastAsia="Arial" w:cs="Arial"/>
          <w:sz w:val="21"/>
          <w:szCs w:val="21"/>
          <w:shd w:val="clear" w:color="auto" w:fill="FFFFFF"/>
        </w:rPr>
        <w:t>3025</w:t>
      </w:r>
      <w:r>
        <w:rPr>
          <w:rFonts w:hint="eastAsia" w:ascii="宋体" w:hAnsi="宋体" w:eastAsia="宋体" w:cs="宋体"/>
          <w:sz w:val="21"/>
          <w:szCs w:val="21"/>
          <w:shd w:val="clear" w:color="auto" w:fill="FFFFFF"/>
        </w:rPr>
        <w:t>号</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联系方式：0755-83982275</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2、招标代理机构信息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联系方式：罗小姐，0755-83026699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项目联系人：罗小姐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r>
        <w:rPr>
          <w:rFonts w:ascii="宋体" w:hAnsi="宋体"/>
          <w:snapToGrid w:val="0"/>
          <w:kern w:val="0"/>
          <w:sz w:val="24"/>
        </w:rPr>
        <w:t>2022年</w:t>
      </w:r>
      <w:r>
        <w:rPr>
          <w:rFonts w:hint="eastAsia" w:ascii="宋体" w:hAnsi="宋体"/>
          <w:snapToGrid w:val="0"/>
          <w:kern w:val="0"/>
          <w:sz w:val="24"/>
          <w:lang w:val="en-US" w:eastAsia="zh-CN"/>
        </w:rPr>
        <w:t>8</w:t>
      </w:r>
      <w:r>
        <w:rPr>
          <w:rFonts w:ascii="宋体" w:hAnsi="宋体"/>
          <w:snapToGrid w:val="0"/>
          <w:kern w:val="0"/>
          <w:sz w:val="24"/>
        </w:rPr>
        <w:t>月</w:t>
      </w:r>
      <w:r>
        <w:rPr>
          <w:rFonts w:hint="eastAsia" w:ascii="宋体" w:hAnsi="宋体"/>
          <w:snapToGrid w:val="0"/>
          <w:kern w:val="0"/>
          <w:sz w:val="24"/>
          <w:lang w:val="en-US" w:eastAsia="zh-CN"/>
        </w:rPr>
        <w:t>8</w:t>
      </w:r>
      <w:r>
        <w:rPr>
          <w:rFonts w:hint="eastAsia" w:ascii="宋体" w:hAnsi="宋体"/>
          <w:snapToGrid w:val="0"/>
          <w:kern w:val="0"/>
          <w:sz w:val="24"/>
        </w:rPr>
        <w:t>日</w:t>
      </w:r>
    </w:p>
    <w:p>
      <w:pPr>
        <w:widowControl/>
        <w:jc w:val="left"/>
        <w:rPr>
          <w:rFonts w:eastAsiaTheme="minorEastAsia"/>
          <w:b/>
          <w:kern w:val="44"/>
          <w:szCs w:val="21"/>
        </w:rPr>
      </w:pPr>
      <w:r>
        <w:rPr>
          <w:szCs w:val="21"/>
        </w:rPr>
        <w:br w:type="page"/>
      </w:r>
    </w:p>
    <w:p>
      <w:pPr>
        <w:pStyle w:val="2"/>
        <w:spacing w:line="240" w:lineRule="auto"/>
        <w:rPr>
          <w:sz w:val="21"/>
          <w:szCs w:val="21"/>
        </w:rPr>
      </w:pPr>
    </w:p>
    <w:p>
      <w:pPr>
        <w:pStyle w:val="2"/>
      </w:pPr>
      <w:bookmarkStart w:id="1" w:name="_Toc73610136"/>
      <w:r>
        <w:rPr>
          <w:rFonts w:hint="eastAsia"/>
        </w:rPr>
        <w:t>第二章  项目需求</w:t>
      </w:r>
      <w:bookmarkEnd w:id="1"/>
    </w:p>
    <w:p>
      <w:pPr>
        <w:spacing w:afterLines="50" w:line="360" w:lineRule="auto"/>
        <w:ind w:left="2"/>
        <w:jc w:val="center"/>
        <w:rPr>
          <w:rFonts w:ascii="宋体" w:hAnsi="宋体"/>
          <w:b/>
          <w:sz w:val="28"/>
          <w:szCs w:val="28"/>
        </w:rPr>
      </w:pPr>
      <w:r>
        <w:rPr>
          <w:rFonts w:hint="eastAsia" w:ascii="宋体" w:hAnsi="宋体"/>
          <w:b/>
          <w:sz w:val="28"/>
          <w:szCs w:val="28"/>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3、技术参数设置为区间要求的（例如：潮气量：</w:t>
      </w:r>
      <w:r>
        <w:rPr>
          <w:rFonts w:ascii="仿宋_GB2312" w:eastAsia="仿宋_GB2312"/>
          <w:sz w:val="24"/>
        </w:rPr>
        <w:t>0-2000ML</w:t>
      </w:r>
      <w:r>
        <w:rPr>
          <w:rFonts w:hint="eastAsia" w:ascii="仿宋_GB2312" w:eastAsia="仿宋_GB2312"/>
          <w:sz w:val="24"/>
        </w:rPr>
        <w:t>），投标产品参数区间与招标要求不完全一致的均视为负偏离。</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4、对于定制类产品，投标人需在投标文件“分项价格表”中明确注明“定制”，否则该产品技术参数按负偏离处理。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5、加注▲的条款为重要条款要求，如不满足将按照第四章“评标标准”进行扣分。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6、加注★的条款为不可负偏离条款，任一项未响应或不满足要求的，将导致投标无效。</w:t>
      </w:r>
    </w:p>
    <w:p>
      <w:pPr>
        <w:spacing w:line="360" w:lineRule="auto"/>
        <w:ind w:left="510"/>
        <w:rPr>
          <w:rFonts w:eastAsia="黑体"/>
          <w:bCs/>
          <w:snapToGrid w:val="0"/>
          <w:kern w:val="0"/>
          <w:sz w:val="24"/>
        </w:rPr>
      </w:pPr>
    </w:p>
    <w:p>
      <w:pPr>
        <w:spacing w:line="360" w:lineRule="auto"/>
        <w:ind w:left="2"/>
        <w:rPr>
          <w:rFonts w:ascii="宋体" w:hAnsi="宋体"/>
          <w:b/>
          <w:sz w:val="24"/>
        </w:rPr>
      </w:pPr>
      <w:r>
        <w:rPr>
          <w:rFonts w:hint="eastAsia" w:ascii="宋体" w:hAnsi="宋体"/>
          <w:bCs/>
          <w:snapToGrid w:val="0"/>
          <w:kern w:val="0"/>
          <w:sz w:val="24"/>
        </w:rPr>
        <w:t>一、</w:t>
      </w:r>
      <w:r>
        <w:rPr>
          <w:rFonts w:hint="eastAsia" w:ascii="宋体" w:hAnsi="宋体"/>
          <w:b/>
          <w:sz w:val="24"/>
        </w:rPr>
        <w:t>采购范围</w:t>
      </w:r>
    </w:p>
    <w:p>
      <w:pPr>
        <w:rPr>
          <w:rFonts w:ascii="宋体" w:hAnsi="宋体"/>
          <w:b/>
          <w:szCs w:val="21"/>
        </w:rPr>
      </w:pPr>
      <w:r>
        <w:rPr>
          <w:rFonts w:hint="eastAsia" w:ascii="宋体" w:hAnsi="宋体"/>
          <w:b/>
          <w:szCs w:val="21"/>
        </w:rPr>
        <w:t>（一）货物总清单</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3119"/>
        <w:gridCol w:w="850"/>
        <w:gridCol w:w="993"/>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85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11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项目名称</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993"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70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采购预算金额</w:t>
            </w:r>
          </w:p>
          <w:p>
            <w:pPr>
              <w:widowControl/>
              <w:spacing w:line="360" w:lineRule="auto"/>
              <w:jc w:val="center"/>
              <w:rPr>
                <w:rFonts w:ascii="宋体" w:hAnsi="宋体" w:cs="宋体"/>
                <w:bCs/>
                <w:kern w:val="0"/>
                <w:szCs w:val="21"/>
              </w:rPr>
            </w:pPr>
            <w:r>
              <w:rPr>
                <w:rFonts w:hint="eastAsia" w:ascii="宋体" w:hAnsi="宋体" w:cs="宋体"/>
                <w:b/>
                <w:szCs w:val="21"/>
              </w:rPr>
              <w:t>（人民币元）</w:t>
            </w:r>
          </w:p>
        </w:tc>
        <w:tc>
          <w:tcPr>
            <w:tcW w:w="14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85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119"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动脉硬化检测装置采购</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993"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台</w:t>
            </w:r>
          </w:p>
        </w:tc>
        <w:tc>
          <w:tcPr>
            <w:tcW w:w="1701" w:type="dxa"/>
            <w:vAlign w:val="center"/>
          </w:tcPr>
          <w:p>
            <w:pPr>
              <w:jc w:val="center"/>
              <w:rPr>
                <w:rFonts w:ascii="宋体" w:hAnsi="宋体" w:cs="宋体"/>
                <w:bCs/>
                <w:kern w:val="0"/>
                <w:szCs w:val="21"/>
              </w:rPr>
            </w:pPr>
            <w:r>
              <w:rPr>
                <w:rFonts w:hint="eastAsia" w:ascii="宋体" w:hAnsi="宋体" w:cs="宋体"/>
                <w:bCs/>
                <w:kern w:val="0"/>
                <w:szCs w:val="21"/>
              </w:rPr>
              <w:t>300,000.00</w:t>
            </w:r>
          </w:p>
        </w:tc>
        <w:tc>
          <w:tcPr>
            <w:tcW w:w="14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拒绝进口</w:t>
            </w:r>
          </w:p>
        </w:tc>
      </w:tr>
    </w:tbl>
    <w:p>
      <w:pPr>
        <w:widowControl/>
        <w:snapToGrid w:val="0"/>
        <w:spacing w:line="360" w:lineRule="auto"/>
        <w:ind w:left="2"/>
        <w:jc w:val="left"/>
        <w:rPr>
          <w:rFonts w:ascii="宋体" w:hAnsi="宋体"/>
          <w:bCs/>
          <w:snapToGrid w:val="0"/>
          <w:kern w:val="0"/>
          <w:szCs w:val="21"/>
        </w:rPr>
      </w:pPr>
    </w:p>
    <w:p>
      <w:pPr>
        <w:rPr>
          <w:rFonts w:ascii="宋体" w:hAnsi="宋体"/>
          <w:b/>
          <w:szCs w:val="21"/>
        </w:rPr>
      </w:pPr>
      <w:r>
        <w:rPr>
          <w:rFonts w:hint="eastAsia" w:ascii="宋体" w:hAnsi="宋体"/>
          <w:b/>
          <w:szCs w:val="21"/>
          <w:highlight w:val="yellow"/>
        </w:rPr>
        <w:t>★（二）货物清单明细和配置清单明细</w:t>
      </w:r>
      <w:r>
        <w:rPr>
          <w:rFonts w:hint="eastAsia" w:asciiTheme="minorEastAsia" w:hAnsiTheme="minorEastAsia" w:eastAsiaTheme="minorEastAsia"/>
          <w:b/>
          <w:bCs/>
          <w:snapToGrid w:val="0"/>
          <w:kern w:val="0"/>
          <w:szCs w:val="21"/>
          <w:highlight w:val="yellow"/>
        </w:rPr>
        <w:t>（配置清单不低于以下配置）</w:t>
      </w:r>
    </w:p>
    <w:tbl>
      <w:tblPr>
        <w:tblStyle w:val="5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969"/>
        <w:gridCol w:w="1081"/>
        <w:gridCol w:w="1134"/>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blHeader/>
          <w:jc w:val="center"/>
        </w:trPr>
        <w:tc>
          <w:tcPr>
            <w:tcW w:w="8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96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货物名称</w:t>
            </w:r>
          </w:p>
        </w:tc>
        <w:tc>
          <w:tcPr>
            <w:tcW w:w="108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1134"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896"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969" w:type="dxa"/>
            <w:vAlign w:val="center"/>
          </w:tcPr>
          <w:p>
            <w:pPr>
              <w:widowControl/>
              <w:jc w:val="center"/>
              <w:textAlignment w:val="center"/>
              <w:rPr>
                <w:rFonts w:ascii="宋体" w:hAnsi="宋体" w:cs="宋体"/>
                <w:bCs/>
                <w:color w:val="000000"/>
                <w:kern w:val="0"/>
                <w:szCs w:val="21"/>
              </w:rPr>
            </w:pPr>
            <w:r>
              <w:rPr>
                <w:rFonts w:hint="eastAsia" w:ascii="宋体" w:hAnsi="宋体" w:cs="宋体"/>
                <w:kern w:val="0"/>
                <w:szCs w:val="21"/>
              </w:rPr>
              <w:t>动脉硬化检测装置</w:t>
            </w:r>
          </w:p>
        </w:tc>
        <w:tc>
          <w:tcPr>
            <w:tcW w:w="1081"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1</w:t>
            </w:r>
          </w:p>
        </w:tc>
        <w:tc>
          <w:tcPr>
            <w:tcW w:w="1134" w:type="dxa"/>
            <w:vAlign w:val="center"/>
          </w:tcPr>
          <w:p>
            <w:pPr>
              <w:widowControl/>
              <w:jc w:val="center"/>
              <w:textAlignment w:val="center"/>
              <w:rPr>
                <w:rFonts w:ascii="宋体" w:hAnsi="宋体" w:cs="宋体"/>
                <w:bCs/>
                <w:color w:val="000000"/>
                <w:kern w:val="0"/>
                <w:szCs w:val="21"/>
              </w:rPr>
            </w:pPr>
            <w:r>
              <w:rPr>
                <w:rFonts w:hint="eastAsia" w:ascii="宋体" w:hAnsi="宋体" w:cs="宋体"/>
                <w:kern w:val="0"/>
                <w:szCs w:val="21"/>
              </w:rPr>
              <w:t>台</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1.1</w:t>
            </w:r>
          </w:p>
        </w:tc>
        <w:tc>
          <w:tcPr>
            <w:tcW w:w="3969" w:type="dxa"/>
            <w:vAlign w:val="center"/>
          </w:tcPr>
          <w:p>
            <w:pPr>
              <w:widowControl/>
              <w:jc w:val="center"/>
              <w:textAlignment w:val="center"/>
              <w:rPr>
                <w:rFonts w:ascii="宋体" w:hAnsi="宋体" w:cs="宋体"/>
                <w:kern w:val="0"/>
                <w:szCs w:val="21"/>
              </w:rPr>
            </w:pPr>
            <w:r>
              <w:rPr>
                <w:rFonts w:hint="eastAsia" w:ascii="宋体" w:hAnsi="宋体" w:cs="宋体"/>
                <w:bCs/>
                <w:color w:val="000000"/>
                <w:kern w:val="0"/>
                <w:szCs w:val="21"/>
              </w:rPr>
              <w:t>主机</w:t>
            </w:r>
          </w:p>
        </w:tc>
        <w:tc>
          <w:tcPr>
            <w:tcW w:w="1081" w:type="dxa"/>
            <w:vAlign w:val="center"/>
          </w:tcPr>
          <w:p>
            <w:pPr>
              <w:widowControl/>
              <w:jc w:val="center"/>
              <w:textAlignment w:val="center"/>
              <w:rPr>
                <w:rFonts w:ascii="宋体" w:hAnsi="宋体" w:cs="宋体"/>
                <w:kern w:val="0"/>
                <w:szCs w:val="21"/>
              </w:rPr>
            </w:pPr>
            <w:r>
              <w:rPr>
                <w:rFonts w:hint="eastAsia" w:ascii="宋体" w:hAnsi="宋体" w:cs="宋体"/>
                <w:bCs/>
                <w:color w:val="000000"/>
                <w:kern w:val="0"/>
                <w:szCs w:val="21"/>
              </w:rPr>
              <w:t>1</w:t>
            </w:r>
          </w:p>
        </w:tc>
        <w:tc>
          <w:tcPr>
            <w:tcW w:w="1134" w:type="dxa"/>
            <w:vAlign w:val="center"/>
          </w:tcPr>
          <w:p>
            <w:pPr>
              <w:widowControl/>
              <w:jc w:val="center"/>
              <w:textAlignment w:val="center"/>
              <w:rPr>
                <w:rFonts w:ascii="宋体" w:hAnsi="宋体" w:cs="宋体"/>
                <w:kern w:val="0"/>
                <w:szCs w:val="21"/>
              </w:rPr>
            </w:pPr>
            <w:r>
              <w:rPr>
                <w:rFonts w:hint="eastAsia" w:ascii="宋体" w:hAnsi="宋体" w:cs="宋体"/>
                <w:bCs/>
                <w:color w:val="000000"/>
                <w:kern w:val="0"/>
                <w:szCs w:val="21"/>
              </w:rPr>
              <w:t>台</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1.2</w:t>
            </w:r>
          </w:p>
        </w:tc>
        <w:tc>
          <w:tcPr>
            <w:tcW w:w="3969" w:type="dxa"/>
            <w:vAlign w:val="center"/>
          </w:tcPr>
          <w:p>
            <w:pPr>
              <w:widowControl/>
              <w:jc w:val="center"/>
              <w:textAlignment w:val="center"/>
              <w:rPr>
                <w:rFonts w:ascii="宋体" w:hAnsi="宋体" w:cs="宋体"/>
                <w:kern w:val="0"/>
                <w:szCs w:val="21"/>
              </w:rPr>
            </w:pPr>
            <w:r>
              <w:rPr>
                <w:rFonts w:hint="eastAsia" w:ascii="宋体" w:hAnsi="宋体" w:cs="宋体"/>
                <w:bCs/>
                <w:color w:val="000000"/>
                <w:kern w:val="0"/>
                <w:szCs w:val="21"/>
              </w:rPr>
              <w:t>台车</w:t>
            </w:r>
          </w:p>
        </w:tc>
        <w:tc>
          <w:tcPr>
            <w:tcW w:w="1081" w:type="dxa"/>
            <w:vAlign w:val="center"/>
          </w:tcPr>
          <w:p>
            <w:pPr>
              <w:widowControl/>
              <w:jc w:val="center"/>
              <w:textAlignment w:val="center"/>
              <w:rPr>
                <w:rFonts w:ascii="宋体" w:hAnsi="宋体" w:cs="宋体"/>
                <w:kern w:val="0"/>
                <w:szCs w:val="21"/>
              </w:rPr>
            </w:pPr>
            <w:r>
              <w:rPr>
                <w:rFonts w:hint="eastAsia" w:ascii="宋体" w:hAnsi="宋体" w:cs="宋体"/>
                <w:bCs/>
                <w:color w:val="000000"/>
                <w:kern w:val="0"/>
                <w:szCs w:val="21"/>
              </w:rPr>
              <w:t>1</w:t>
            </w:r>
          </w:p>
        </w:tc>
        <w:tc>
          <w:tcPr>
            <w:tcW w:w="1134" w:type="dxa"/>
            <w:vAlign w:val="center"/>
          </w:tcPr>
          <w:p>
            <w:pPr>
              <w:widowControl/>
              <w:jc w:val="center"/>
              <w:textAlignment w:val="center"/>
              <w:rPr>
                <w:rFonts w:ascii="宋体" w:hAnsi="宋体" w:cs="宋体"/>
                <w:kern w:val="0"/>
                <w:szCs w:val="21"/>
              </w:rPr>
            </w:pPr>
            <w:r>
              <w:rPr>
                <w:rFonts w:hint="eastAsia" w:ascii="宋体" w:hAnsi="宋体" w:cs="宋体"/>
                <w:bCs/>
                <w:color w:val="000000"/>
                <w:kern w:val="0"/>
                <w:szCs w:val="21"/>
              </w:rPr>
              <w:t>台</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1.3</w:t>
            </w:r>
          </w:p>
        </w:tc>
        <w:tc>
          <w:tcPr>
            <w:tcW w:w="3969" w:type="dxa"/>
            <w:vAlign w:val="center"/>
          </w:tcPr>
          <w:p>
            <w:pPr>
              <w:widowControl/>
              <w:jc w:val="center"/>
              <w:textAlignment w:val="center"/>
              <w:rPr>
                <w:rFonts w:ascii="宋体" w:hAnsi="宋体" w:cs="宋体"/>
                <w:kern w:val="0"/>
                <w:szCs w:val="21"/>
              </w:rPr>
            </w:pPr>
            <w:r>
              <w:rPr>
                <w:rFonts w:hint="eastAsia" w:ascii="宋体" w:hAnsi="宋体" w:cs="宋体"/>
                <w:bCs/>
                <w:color w:val="000000"/>
                <w:kern w:val="0"/>
                <w:szCs w:val="21"/>
              </w:rPr>
              <w:t>心电传感器</w:t>
            </w:r>
          </w:p>
        </w:tc>
        <w:tc>
          <w:tcPr>
            <w:tcW w:w="1081" w:type="dxa"/>
            <w:vAlign w:val="center"/>
          </w:tcPr>
          <w:p>
            <w:pPr>
              <w:widowControl/>
              <w:jc w:val="center"/>
              <w:textAlignment w:val="center"/>
              <w:rPr>
                <w:rFonts w:ascii="宋体" w:hAnsi="宋体" w:cs="宋体"/>
                <w:kern w:val="0"/>
                <w:szCs w:val="21"/>
              </w:rPr>
            </w:pPr>
            <w:r>
              <w:rPr>
                <w:rFonts w:hint="eastAsia" w:ascii="宋体" w:hAnsi="宋体" w:cs="宋体"/>
                <w:bCs/>
                <w:color w:val="000000"/>
                <w:kern w:val="0"/>
                <w:szCs w:val="21"/>
              </w:rPr>
              <w:t>2</w:t>
            </w:r>
          </w:p>
        </w:tc>
        <w:tc>
          <w:tcPr>
            <w:tcW w:w="1134" w:type="dxa"/>
            <w:vAlign w:val="center"/>
          </w:tcPr>
          <w:p>
            <w:pPr>
              <w:widowControl/>
              <w:jc w:val="center"/>
              <w:textAlignment w:val="center"/>
              <w:rPr>
                <w:rFonts w:ascii="宋体" w:hAnsi="宋体" w:cs="宋体"/>
                <w:kern w:val="0"/>
                <w:szCs w:val="21"/>
              </w:rPr>
            </w:pPr>
            <w:r>
              <w:rPr>
                <w:rFonts w:hint="eastAsia" w:ascii="宋体" w:hAnsi="宋体" w:cs="宋体"/>
                <w:bCs/>
                <w:color w:val="000000"/>
                <w:kern w:val="0"/>
                <w:szCs w:val="21"/>
              </w:rPr>
              <w:t>只</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1.4</w:t>
            </w:r>
          </w:p>
        </w:tc>
        <w:tc>
          <w:tcPr>
            <w:tcW w:w="3969" w:type="dxa"/>
            <w:vAlign w:val="center"/>
          </w:tcPr>
          <w:p>
            <w:pPr>
              <w:widowControl/>
              <w:jc w:val="center"/>
              <w:textAlignment w:val="center"/>
              <w:rPr>
                <w:rFonts w:ascii="宋体" w:hAnsi="宋体" w:cs="宋体"/>
                <w:kern w:val="0"/>
                <w:szCs w:val="21"/>
              </w:rPr>
            </w:pPr>
            <w:r>
              <w:rPr>
                <w:rFonts w:hint="eastAsia" w:ascii="宋体" w:hAnsi="宋体" w:cs="宋体"/>
                <w:bCs/>
                <w:color w:val="000000"/>
                <w:kern w:val="0"/>
                <w:szCs w:val="21"/>
              </w:rPr>
              <w:t>心音传感器</w:t>
            </w:r>
          </w:p>
        </w:tc>
        <w:tc>
          <w:tcPr>
            <w:tcW w:w="1081" w:type="dxa"/>
            <w:vAlign w:val="center"/>
          </w:tcPr>
          <w:p>
            <w:pPr>
              <w:widowControl/>
              <w:jc w:val="center"/>
              <w:textAlignment w:val="center"/>
              <w:rPr>
                <w:rFonts w:ascii="宋体" w:hAnsi="宋体" w:cs="宋体"/>
                <w:kern w:val="0"/>
                <w:szCs w:val="21"/>
              </w:rPr>
            </w:pPr>
            <w:r>
              <w:rPr>
                <w:rFonts w:hint="eastAsia" w:ascii="宋体" w:hAnsi="宋体" w:cs="宋体"/>
                <w:bCs/>
                <w:color w:val="000000"/>
                <w:kern w:val="0"/>
                <w:szCs w:val="21"/>
              </w:rPr>
              <w:t>1</w:t>
            </w:r>
          </w:p>
        </w:tc>
        <w:tc>
          <w:tcPr>
            <w:tcW w:w="1134" w:type="dxa"/>
            <w:vAlign w:val="center"/>
          </w:tcPr>
          <w:p>
            <w:pPr>
              <w:widowControl/>
              <w:jc w:val="center"/>
              <w:textAlignment w:val="center"/>
              <w:rPr>
                <w:rFonts w:ascii="宋体" w:hAnsi="宋体" w:cs="宋体"/>
                <w:kern w:val="0"/>
                <w:szCs w:val="21"/>
              </w:rPr>
            </w:pPr>
            <w:r>
              <w:rPr>
                <w:rFonts w:hint="eastAsia" w:ascii="宋体" w:hAnsi="宋体" w:cs="宋体"/>
                <w:bCs/>
                <w:color w:val="000000"/>
                <w:kern w:val="0"/>
                <w:szCs w:val="21"/>
              </w:rPr>
              <w:t>只</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1.5</w:t>
            </w:r>
          </w:p>
        </w:tc>
        <w:tc>
          <w:tcPr>
            <w:tcW w:w="3969" w:type="dxa"/>
            <w:vAlign w:val="center"/>
          </w:tcPr>
          <w:p>
            <w:pPr>
              <w:widowControl/>
              <w:jc w:val="center"/>
              <w:textAlignment w:val="center"/>
              <w:rPr>
                <w:rFonts w:ascii="宋体" w:hAnsi="宋体" w:cs="宋体"/>
                <w:kern w:val="0"/>
                <w:szCs w:val="21"/>
              </w:rPr>
            </w:pPr>
            <w:r>
              <w:rPr>
                <w:rFonts w:hint="eastAsia" w:ascii="宋体" w:hAnsi="宋体" w:cs="宋体"/>
                <w:bCs/>
                <w:color w:val="000000"/>
                <w:kern w:val="0"/>
                <w:szCs w:val="21"/>
              </w:rPr>
              <w:t>心音传感器加重物</w:t>
            </w:r>
          </w:p>
        </w:tc>
        <w:tc>
          <w:tcPr>
            <w:tcW w:w="1081" w:type="dxa"/>
            <w:vAlign w:val="center"/>
          </w:tcPr>
          <w:p>
            <w:pPr>
              <w:widowControl/>
              <w:jc w:val="center"/>
              <w:textAlignment w:val="center"/>
              <w:rPr>
                <w:rFonts w:ascii="宋体" w:hAnsi="宋体" w:cs="宋体"/>
                <w:kern w:val="0"/>
                <w:szCs w:val="21"/>
              </w:rPr>
            </w:pPr>
            <w:r>
              <w:rPr>
                <w:rFonts w:hint="eastAsia" w:ascii="宋体" w:hAnsi="宋体" w:cs="宋体"/>
                <w:bCs/>
                <w:color w:val="000000"/>
                <w:kern w:val="0"/>
                <w:szCs w:val="21"/>
              </w:rPr>
              <w:t>1</w:t>
            </w:r>
          </w:p>
        </w:tc>
        <w:tc>
          <w:tcPr>
            <w:tcW w:w="1134" w:type="dxa"/>
            <w:vAlign w:val="center"/>
          </w:tcPr>
          <w:p>
            <w:pPr>
              <w:widowControl/>
              <w:jc w:val="center"/>
              <w:textAlignment w:val="center"/>
              <w:rPr>
                <w:rFonts w:ascii="宋体" w:hAnsi="宋体" w:cs="宋体"/>
                <w:kern w:val="0"/>
                <w:szCs w:val="21"/>
              </w:rPr>
            </w:pPr>
            <w:r>
              <w:rPr>
                <w:rFonts w:hint="eastAsia" w:ascii="宋体" w:hAnsi="宋体" w:cs="宋体"/>
                <w:bCs/>
                <w:color w:val="000000"/>
                <w:kern w:val="0"/>
                <w:szCs w:val="21"/>
              </w:rPr>
              <w:t>个</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1.6</w:t>
            </w:r>
          </w:p>
        </w:tc>
        <w:tc>
          <w:tcPr>
            <w:tcW w:w="3969" w:type="dxa"/>
            <w:vAlign w:val="center"/>
          </w:tcPr>
          <w:p>
            <w:pPr>
              <w:widowControl/>
              <w:jc w:val="center"/>
              <w:textAlignment w:val="center"/>
              <w:rPr>
                <w:rFonts w:ascii="宋体" w:hAnsi="宋体" w:cs="宋体"/>
                <w:kern w:val="0"/>
                <w:szCs w:val="21"/>
              </w:rPr>
            </w:pPr>
            <w:r>
              <w:rPr>
                <w:rFonts w:hint="eastAsia" w:ascii="宋体" w:hAnsi="宋体" w:cs="宋体"/>
                <w:bCs/>
                <w:color w:val="000000"/>
                <w:kern w:val="0"/>
                <w:szCs w:val="21"/>
              </w:rPr>
              <w:t>上臂传感袖带</w:t>
            </w:r>
          </w:p>
        </w:tc>
        <w:tc>
          <w:tcPr>
            <w:tcW w:w="1081" w:type="dxa"/>
            <w:vAlign w:val="center"/>
          </w:tcPr>
          <w:p>
            <w:pPr>
              <w:widowControl/>
              <w:jc w:val="center"/>
              <w:textAlignment w:val="center"/>
              <w:rPr>
                <w:rFonts w:ascii="宋体" w:hAnsi="宋体" w:cs="宋体"/>
                <w:kern w:val="0"/>
                <w:szCs w:val="21"/>
              </w:rPr>
            </w:pPr>
            <w:r>
              <w:rPr>
                <w:rFonts w:hint="eastAsia" w:ascii="宋体" w:hAnsi="宋体" w:cs="宋体"/>
                <w:bCs/>
                <w:color w:val="000000"/>
                <w:kern w:val="0"/>
                <w:szCs w:val="21"/>
              </w:rPr>
              <w:t>1</w:t>
            </w:r>
          </w:p>
        </w:tc>
        <w:tc>
          <w:tcPr>
            <w:tcW w:w="1134" w:type="dxa"/>
            <w:vAlign w:val="center"/>
          </w:tcPr>
          <w:p>
            <w:pPr>
              <w:widowControl/>
              <w:jc w:val="center"/>
              <w:textAlignment w:val="center"/>
              <w:rPr>
                <w:rFonts w:ascii="宋体" w:hAnsi="宋体" w:cs="宋体"/>
                <w:kern w:val="0"/>
                <w:szCs w:val="21"/>
              </w:rPr>
            </w:pPr>
            <w:r>
              <w:rPr>
                <w:rFonts w:hint="eastAsia" w:ascii="宋体" w:hAnsi="宋体" w:cs="宋体"/>
                <w:bCs/>
                <w:color w:val="000000"/>
                <w:kern w:val="0"/>
                <w:szCs w:val="21"/>
              </w:rPr>
              <w:t>套</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1.7</w:t>
            </w:r>
          </w:p>
        </w:tc>
        <w:tc>
          <w:tcPr>
            <w:tcW w:w="3969" w:type="dxa"/>
            <w:vAlign w:val="center"/>
          </w:tcPr>
          <w:p>
            <w:pPr>
              <w:widowControl/>
              <w:jc w:val="center"/>
              <w:textAlignment w:val="center"/>
              <w:rPr>
                <w:rFonts w:ascii="宋体" w:hAnsi="宋体" w:cs="宋体"/>
                <w:kern w:val="0"/>
                <w:szCs w:val="21"/>
              </w:rPr>
            </w:pPr>
            <w:r>
              <w:rPr>
                <w:rFonts w:hint="eastAsia" w:ascii="宋体" w:hAnsi="宋体" w:cs="宋体"/>
                <w:bCs/>
                <w:color w:val="000000"/>
                <w:kern w:val="0"/>
                <w:szCs w:val="21"/>
              </w:rPr>
              <w:t>脚踝传感袖带</w:t>
            </w:r>
          </w:p>
        </w:tc>
        <w:tc>
          <w:tcPr>
            <w:tcW w:w="1081" w:type="dxa"/>
            <w:vAlign w:val="center"/>
          </w:tcPr>
          <w:p>
            <w:pPr>
              <w:widowControl/>
              <w:jc w:val="center"/>
              <w:textAlignment w:val="center"/>
              <w:rPr>
                <w:rFonts w:ascii="宋体" w:hAnsi="宋体" w:cs="宋体"/>
                <w:kern w:val="0"/>
                <w:szCs w:val="21"/>
              </w:rPr>
            </w:pPr>
            <w:r>
              <w:rPr>
                <w:rFonts w:hint="eastAsia" w:ascii="宋体" w:hAnsi="宋体" w:cs="宋体"/>
                <w:bCs/>
                <w:color w:val="000000"/>
                <w:kern w:val="0"/>
                <w:szCs w:val="21"/>
              </w:rPr>
              <w:t>1</w:t>
            </w:r>
          </w:p>
        </w:tc>
        <w:tc>
          <w:tcPr>
            <w:tcW w:w="1134" w:type="dxa"/>
            <w:vAlign w:val="center"/>
          </w:tcPr>
          <w:p>
            <w:pPr>
              <w:widowControl/>
              <w:jc w:val="center"/>
              <w:textAlignment w:val="center"/>
              <w:rPr>
                <w:rFonts w:ascii="宋体" w:hAnsi="宋体" w:cs="宋体"/>
                <w:kern w:val="0"/>
                <w:szCs w:val="21"/>
              </w:rPr>
            </w:pPr>
            <w:r>
              <w:rPr>
                <w:rFonts w:hint="eastAsia" w:ascii="宋体" w:hAnsi="宋体" w:cs="宋体"/>
                <w:bCs/>
                <w:color w:val="000000"/>
                <w:kern w:val="0"/>
                <w:szCs w:val="21"/>
              </w:rPr>
              <w:t>套</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1.8</w:t>
            </w:r>
          </w:p>
        </w:tc>
        <w:tc>
          <w:tcPr>
            <w:tcW w:w="3969" w:type="dxa"/>
            <w:vAlign w:val="center"/>
          </w:tcPr>
          <w:p>
            <w:pPr>
              <w:widowControl/>
              <w:jc w:val="center"/>
              <w:textAlignment w:val="center"/>
              <w:rPr>
                <w:rFonts w:ascii="宋体" w:hAnsi="宋体" w:cs="宋体"/>
                <w:kern w:val="0"/>
                <w:szCs w:val="21"/>
              </w:rPr>
            </w:pPr>
            <w:r>
              <w:rPr>
                <w:rFonts w:hint="eastAsia" w:ascii="宋体" w:hAnsi="宋体" w:cs="宋体"/>
                <w:bCs/>
                <w:color w:val="000000"/>
                <w:kern w:val="0"/>
                <w:szCs w:val="21"/>
              </w:rPr>
              <w:t>上臂箍带软管</w:t>
            </w:r>
          </w:p>
        </w:tc>
        <w:tc>
          <w:tcPr>
            <w:tcW w:w="1081" w:type="dxa"/>
            <w:vAlign w:val="center"/>
          </w:tcPr>
          <w:p>
            <w:pPr>
              <w:widowControl/>
              <w:jc w:val="center"/>
              <w:textAlignment w:val="center"/>
              <w:rPr>
                <w:rFonts w:ascii="宋体" w:hAnsi="宋体" w:cs="宋体"/>
                <w:kern w:val="0"/>
                <w:szCs w:val="21"/>
              </w:rPr>
            </w:pPr>
            <w:r>
              <w:rPr>
                <w:rFonts w:hint="eastAsia" w:ascii="宋体" w:hAnsi="宋体" w:cs="宋体"/>
                <w:bCs/>
                <w:color w:val="000000"/>
                <w:kern w:val="0"/>
                <w:szCs w:val="21"/>
              </w:rPr>
              <w:t>1</w:t>
            </w:r>
          </w:p>
        </w:tc>
        <w:tc>
          <w:tcPr>
            <w:tcW w:w="1134" w:type="dxa"/>
            <w:vAlign w:val="center"/>
          </w:tcPr>
          <w:p>
            <w:pPr>
              <w:widowControl/>
              <w:jc w:val="center"/>
              <w:textAlignment w:val="center"/>
              <w:rPr>
                <w:rFonts w:ascii="宋体" w:hAnsi="宋体" w:cs="宋体"/>
                <w:kern w:val="0"/>
                <w:szCs w:val="21"/>
              </w:rPr>
            </w:pPr>
            <w:r>
              <w:rPr>
                <w:rFonts w:hint="eastAsia" w:ascii="宋体" w:hAnsi="宋体" w:cs="宋体"/>
                <w:bCs/>
                <w:color w:val="000000"/>
                <w:kern w:val="0"/>
                <w:szCs w:val="21"/>
              </w:rPr>
              <w:t>套</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1.9</w:t>
            </w:r>
          </w:p>
        </w:tc>
        <w:tc>
          <w:tcPr>
            <w:tcW w:w="3969" w:type="dxa"/>
            <w:vAlign w:val="center"/>
          </w:tcPr>
          <w:p>
            <w:pPr>
              <w:widowControl/>
              <w:jc w:val="center"/>
              <w:textAlignment w:val="center"/>
              <w:rPr>
                <w:rFonts w:ascii="宋体" w:hAnsi="宋体" w:cs="宋体"/>
                <w:kern w:val="0"/>
                <w:szCs w:val="21"/>
              </w:rPr>
            </w:pPr>
            <w:r>
              <w:rPr>
                <w:rFonts w:hint="eastAsia" w:ascii="宋体" w:hAnsi="宋体" w:cs="宋体"/>
                <w:bCs/>
                <w:color w:val="000000"/>
                <w:kern w:val="0"/>
                <w:szCs w:val="21"/>
              </w:rPr>
              <w:t>脚踝箍带软管</w:t>
            </w:r>
          </w:p>
        </w:tc>
        <w:tc>
          <w:tcPr>
            <w:tcW w:w="1081" w:type="dxa"/>
            <w:vAlign w:val="center"/>
          </w:tcPr>
          <w:p>
            <w:pPr>
              <w:widowControl/>
              <w:jc w:val="center"/>
              <w:textAlignment w:val="center"/>
              <w:rPr>
                <w:rFonts w:ascii="宋体" w:hAnsi="宋体" w:cs="宋体"/>
                <w:kern w:val="0"/>
                <w:szCs w:val="21"/>
              </w:rPr>
            </w:pPr>
            <w:r>
              <w:rPr>
                <w:rFonts w:hint="eastAsia" w:ascii="宋体" w:hAnsi="宋体" w:cs="宋体"/>
                <w:bCs/>
                <w:color w:val="000000"/>
                <w:kern w:val="0"/>
                <w:szCs w:val="21"/>
              </w:rPr>
              <w:t>1</w:t>
            </w:r>
          </w:p>
        </w:tc>
        <w:tc>
          <w:tcPr>
            <w:tcW w:w="1134" w:type="dxa"/>
            <w:vAlign w:val="center"/>
          </w:tcPr>
          <w:p>
            <w:pPr>
              <w:widowControl/>
              <w:jc w:val="center"/>
              <w:textAlignment w:val="center"/>
              <w:rPr>
                <w:rFonts w:ascii="宋体" w:hAnsi="宋体" w:cs="宋体"/>
                <w:kern w:val="0"/>
                <w:szCs w:val="21"/>
              </w:rPr>
            </w:pPr>
            <w:r>
              <w:rPr>
                <w:rFonts w:hint="eastAsia" w:ascii="宋体" w:hAnsi="宋体" w:cs="宋体"/>
                <w:bCs/>
                <w:color w:val="000000"/>
                <w:kern w:val="0"/>
                <w:szCs w:val="21"/>
              </w:rPr>
              <w:t>套</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1.10</w:t>
            </w:r>
          </w:p>
        </w:tc>
        <w:tc>
          <w:tcPr>
            <w:tcW w:w="3969" w:type="dxa"/>
            <w:vAlign w:val="center"/>
          </w:tcPr>
          <w:p>
            <w:pPr>
              <w:widowControl/>
              <w:jc w:val="center"/>
              <w:textAlignment w:val="center"/>
              <w:rPr>
                <w:rFonts w:ascii="宋体" w:hAnsi="宋体" w:cs="宋体"/>
                <w:kern w:val="0"/>
                <w:szCs w:val="21"/>
              </w:rPr>
            </w:pPr>
            <w:r>
              <w:rPr>
                <w:rFonts w:hint="eastAsia" w:ascii="宋体" w:hAnsi="宋体" w:cs="宋体"/>
                <w:bCs/>
                <w:color w:val="000000"/>
                <w:kern w:val="0"/>
                <w:szCs w:val="21"/>
              </w:rPr>
              <w:t>中文操作界面</w:t>
            </w:r>
          </w:p>
        </w:tc>
        <w:tc>
          <w:tcPr>
            <w:tcW w:w="1081" w:type="dxa"/>
            <w:vAlign w:val="center"/>
          </w:tcPr>
          <w:p>
            <w:pPr>
              <w:widowControl/>
              <w:jc w:val="center"/>
              <w:textAlignment w:val="center"/>
              <w:rPr>
                <w:rFonts w:ascii="宋体" w:hAnsi="宋体" w:cs="宋体"/>
                <w:kern w:val="0"/>
                <w:szCs w:val="21"/>
              </w:rPr>
            </w:pPr>
            <w:r>
              <w:rPr>
                <w:rFonts w:hint="eastAsia" w:ascii="宋体" w:hAnsi="宋体" w:cs="宋体"/>
                <w:bCs/>
                <w:color w:val="000000"/>
                <w:kern w:val="0"/>
                <w:szCs w:val="21"/>
              </w:rPr>
              <w:t>1</w:t>
            </w:r>
          </w:p>
        </w:tc>
        <w:tc>
          <w:tcPr>
            <w:tcW w:w="1134" w:type="dxa"/>
            <w:vAlign w:val="center"/>
          </w:tcPr>
          <w:p>
            <w:pPr>
              <w:widowControl/>
              <w:jc w:val="center"/>
              <w:textAlignment w:val="center"/>
              <w:rPr>
                <w:rFonts w:ascii="宋体" w:hAnsi="宋体" w:cs="宋体"/>
                <w:kern w:val="0"/>
                <w:szCs w:val="21"/>
              </w:rPr>
            </w:pPr>
            <w:r>
              <w:rPr>
                <w:rFonts w:hint="eastAsia" w:ascii="宋体" w:hAnsi="宋体" w:cs="宋体"/>
                <w:bCs/>
                <w:color w:val="000000"/>
                <w:kern w:val="0"/>
                <w:szCs w:val="21"/>
              </w:rPr>
              <w:t>个</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1.11</w:t>
            </w:r>
          </w:p>
        </w:tc>
        <w:tc>
          <w:tcPr>
            <w:tcW w:w="3969" w:type="dxa"/>
            <w:vAlign w:val="center"/>
          </w:tcPr>
          <w:p>
            <w:pPr>
              <w:widowControl/>
              <w:jc w:val="center"/>
              <w:textAlignment w:val="center"/>
              <w:rPr>
                <w:rFonts w:ascii="宋体" w:hAnsi="宋体" w:cs="宋体"/>
                <w:kern w:val="0"/>
                <w:szCs w:val="21"/>
              </w:rPr>
            </w:pPr>
            <w:r>
              <w:rPr>
                <w:rFonts w:hint="eastAsia" w:ascii="宋体" w:hAnsi="宋体" w:cs="宋体"/>
                <w:bCs/>
                <w:color w:val="000000"/>
                <w:kern w:val="0"/>
                <w:szCs w:val="21"/>
              </w:rPr>
              <w:t>触摸屏</w:t>
            </w:r>
          </w:p>
        </w:tc>
        <w:tc>
          <w:tcPr>
            <w:tcW w:w="1081" w:type="dxa"/>
            <w:vAlign w:val="center"/>
          </w:tcPr>
          <w:p>
            <w:pPr>
              <w:widowControl/>
              <w:jc w:val="center"/>
              <w:textAlignment w:val="center"/>
              <w:rPr>
                <w:rFonts w:ascii="宋体" w:hAnsi="宋体" w:cs="宋体"/>
                <w:kern w:val="0"/>
                <w:szCs w:val="21"/>
              </w:rPr>
            </w:pPr>
            <w:r>
              <w:rPr>
                <w:rFonts w:hint="eastAsia" w:ascii="宋体" w:hAnsi="宋体" w:cs="宋体"/>
                <w:bCs/>
                <w:color w:val="000000"/>
                <w:kern w:val="0"/>
                <w:szCs w:val="21"/>
              </w:rPr>
              <w:t>1</w:t>
            </w:r>
          </w:p>
        </w:tc>
        <w:tc>
          <w:tcPr>
            <w:tcW w:w="1134" w:type="dxa"/>
            <w:vAlign w:val="center"/>
          </w:tcPr>
          <w:p>
            <w:pPr>
              <w:widowControl/>
              <w:jc w:val="center"/>
              <w:textAlignment w:val="center"/>
              <w:rPr>
                <w:rFonts w:ascii="宋体" w:hAnsi="宋体" w:cs="宋体"/>
                <w:kern w:val="0"/>
                <w:szCs w:val="21"/>
              </w:rPr>
            </w:pPr>
            <w:r>
              <w:rPr>
                <w:rFonts w:hint="eastAsia" w:ascii="宋体" w:hAnsi="宋体" w:cs="宋体"/>
                <w:bCs/>
                <w:color w:val="000000"/>
                <w:kern w:val="0"/>
                <w:szCs w:val="21"/>
              </w:rPr>
              <w:t>个</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1.12</w:t>
            </w:r>
          </w:p>
        </w:tc>
        <w:tc>
          <w:tcPr>
            <w:tcW w:w="3969" w:type="dxa"/>
            <w:vAlign w:val="center"/>
          </w:tcPr>
          <w:p>
            <w:pPr>
              <w:widowControl/>
              <w:jc w:val="center"/>
              <w:textAlignment w:val="center"/>
              <w:rPr>
                <w:rFonts w:ascii="宋体" w:hAnsi="宋体" w:cs="宋体"/>
                <w:kern w:val="0"/>
                <w:szCs w:val="21"/>
              </w:rPr>
            </w:pPr>
            <w:r>
              <w:rPr>
                <w:rFonts w:hint="eastAsia" w:ascii="宋体" w:hAnsi="宋体" w:cs="宋体"/>
                <w:bCs/>
                <w:color w:val="000000"/>
                <w:kern w:val="0"/>
                <w:szCs w:val="21"/>
              </w:rPr>
              <w:t>激光打印机</w:t>
            </w:r>
          </w:p>
        </w:tc>
        <w:tc>
          <w:tcPr>
            <w:tcW w:w="1081" w:type="dxa"/>
            <w:vAlign w:val="center"/>
          </w:tcPr>
          <w:p>
            <w:pPr>
              <w:widowControl/>
              <w:jc w:val="center"/>
              <w:textAlignment w:val="center"/>
              <w:rPr>
                <w:rFonts w:ascii="宋体" w:hAnsi="宋体" w:cs="宋体"/>
                <w:kern w:val="0"/>
                <w:szCs w:val="21"/>
              </w:rPr>
            </w:pPr>
            <w:r>
              <w:rPr>
                <w:rFonts w:hint="eastAsia" w:ascii="宋体" w:hAnsi="宋体" w:cs="宋体"/>
                <w:bCs/>
                <w:color w:val="000000"/>
                <w:kern w:val="0"/>
                <w:szCs w:val="21"/>
              </w:rPr>
              <w:t>1</w:t>
            </w:r>
          </w:p>
        </w:tc>
        <w:tc>
          <w:tcPr>
            <w:tcW w:w="1134" w:type="dxa"/>
            <w:vAlign w:val="center"/>
          </w:tcPr>
          <w:p>
            <w:pPr>
              <w:widowControl/>
              <w:jc w:val="center"/>
              <w:textAlignment w:val="center"/>
              <w:rPr>
                <w:rFonts w:ascii="宋体" w:hAnsi="宋体" w:cs="宋体"/>
                <w:kern w:val="0"/>
                <w:szCs w:val="21"/>
              </w:rPr>
            </w:pPr>
            <w:r>
              <w:rPr>
                <w:rFonts w:hint="eastAsia" w:ascii="宋体" w:hAnsi="宋体" w:cs="宋体"/>
                <w:bCs/>
                <w:color w:val="000000"/>
                <w:kern w:val="0"/>
                <w:szCs w:val="21"/>
              </w:rPr>
              <w:t>台</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1.13</w:t>
            </w:r>
          </w:p>
        </w:tc>
        <w:tc>
          <w:tcPr>
            <w:tcW w:w="3969" w:type="dxa"/>
            <w:vAlign w:val="center"/>
          </w:tcPr>
          <w:p>
            <w:pPr>
              <w:widowControl/>
              <w:jc w:val="center"/>
              <w:textAlignment w:val="center"/>
              <w:rPr>
                <w:rFonts w:ascii="宋体" w:hAnsi="宋体" w:cs="宋体"/>
                <w:kern w:val="0"/>
                <w:szCs w:val="21"/>
              </w:rPr>
            </w:pPr>
            <w:r>
              <w:rPr>
                <w:rFonts w:hint="eastAsia" w:ascii="宋体" w:hAnsi="宋体" w:cs="宋体"/>
                <w:bCs/>
                <w:color w:val="000000"/>
                <w:kern w:val="0"/>
                <w:szCs w:val="21"/>
              </w:rPr>
              <w:t>电源线</w:t>
            </w:r>
          </w:p>
        </w:tc>
        <w:tc>
          <w:tcPr>
            <w:tcW w:w="1081" w:type="dxa"/>
            <w:vAlign w:val="center"/>
          </w:tcPr>
          <w:p>
            <w:pPr>
              <w:widowControl/>
              <w:jc w:val="center"/>
              <w:textAlignment w:val="center"/>
              <w:rPr>
                <w:rFonts w:ascii="宋体" w:hAnsi="宋体" w:cs="宋体"/>
                <w:kern w:val="0"/>
                <w:szCs w:val="21"/>
              </w:rPr>
            </w:pPr>
            <w:r>
              <w:rPr>
                <w:rFonts w:hint="eastAsia" w:ascii="宋体" w:hAnsi="宋体" w:cs="宋体"/>
                <w:bCs/>
                <w:color w:val="000000"/>
                <w:kern w:val="0"/>
                <w:szCs w:val="21"/>
              </w:rPr>
              <w:t>1</w:t>
            </w:r>
          </w:p>
        </w:tc>
        <w:tc>
          <w:tcPr>
            <w:tcW w:w="1134" w:type="dxa"/>
            <w:vAlign w:val="center"/>
          </w:tcPr>
          <w:p>
            <w:pPr>
              <w:widowControl/>
              <w:jc w:val="center"/>
              <w:textAlignment w:val="center"/>
              <w:rPr>
                <w:rFonts w:ascii="宋体" w:hAnsi="宋体" w:cs="宋体"/>
                <w:kern w:val="0"/>
                <w:szCs w:val="21"/>
              </w:rPr>
            </w:pPr>
            <w:r>
              <w:rPr>
                <w:rFonts w:hint="eastAsia" w:ascii="宋体" w:hAnsi="宋体" w:cs="宋体"/>
                <w:bCs/>
                <w:color w:val="000000"/>
                <w:kern w:val="0"/>
                <w:szCs w:val="21"/>
              </w:rPr>
              <w:t>根</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1.14</w:t>
            </w:r>
          </w:p>
        </w:tc>
        <w:tc>
          <w:tcPr>
            <w:tcW w:w="3969" w:type="dxa"/>
            <w:vAlign w:val="center"/>
          </w:tcPr>
          <w:p>
            <w:pPr>
              <w:widowControl/>
              <w:jc w:val="center"/>
              <w:textAlignment w:val="center"/>
              <w:rPr>
                <w:rFonts w:ascii="宋体" w:hAnsi="宋体" w:cs="宋体"/>
                <w:kern w:val="0"/>
                <w:szCs w:val="21"/>
              </w:rPr>
            </w:pPr>
            <w:r>
              <w:rPr>
                <w:rFonts w:hint="eastAsia" w:ascii="宋体" w:hAnsi="宋体" w:cs="宋体"/>
                <w:bCs/>
                <w:color w:val="000000"/>
                <w:kern w:val="0"/>
                <w:szCs w:val="21"/>
              </w:rPr>
              <w:t>操作手册</w:t>
            </w:r>
          </w:p>
        </w:tc>
        <w:tc>
          <w:tcPr>
            <w:tcW w:w="1081" w:type="dxa"/>
            <w:vAlign w:val="center"/>
          </w:tcPr>
          <w:p>
            <w:pPr>
              <w:widowControl/>
              <w:jc w:val="center"/>
              <w:textAlignment w:val="center"/>
              <w:rPr>
                <w:rFonts w:ascii="宋体" w:hAnsi="宋体" w:cs="宋体"/>
                <w:kern w:val="0"/>
                <w:szCs w:val="21"/>
              </w:rPr>
            </w:pPr>
            <w:r>
              <w:rPr>
                <w:rFonts w:hint="eastAsia" w:ascii="宋体" w:hAnsi="宋体" w:cs="宋体"/>
                <w:bCs/>
                <w:color w:val="000000"/>
                <w:kern w:val="0"/>
                <w:szCs w:val="21"/>
              </w:rPr>
              <w:t>1</w:t>
            </w:r>
          </w:p>
        </w:tc>
        <w:tc>
          <w:tcPr>
            <w:tcW w:w="1134" w:type="dxa"/>
            <w:vAlign w:val="center"/>
          </w:tcPr>
          <w:p>
            <w:pPr>
              <w:widowControl/>
              <w:jc w:val="center"/>
              <w:textAlignment w:val="center"/>
              <w:rPr>
                <w:rFonts w:ascii="宋体" w:hAnsi="宋体" w:cs="宋体"/>
                <w:kern w:val="0"/>
                <w:szCs w:val="21"/>
              </w:rPr>
            </w:pPr>
            <w:r>
              <w:rPr>
                <w:rFonts w:hint="eastAsia" w:ascii="宋体" w:hAnsi="宋体" w:cs="宋体"/>
                <w:bCs/>
                <w:color w:val="000000"/>
                <w:kern w:val="0"/>
                <w:szCs w:val="21"/>
              </w:rPr>
              <w:t>本</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1.15</w:t>
            </w:r>
          </w:p>
        </w:tc>
        <w:tc>
          <w:tcPr>
            <w:tcW w:w="3969" w:type="dxa"/>
            <w:vAlign w:val="center"/>
          </w:tcPr>
          <w:p>
            <w:pPr>
              <w:widowControl/>
              <w:jc w:val="center"/>
              <w:textAlignment w:val="center"/>
              <w:rPr>
                <w:rFonts w:ascii="宋体" w:hAnsi="宋体" w:cs="宋体"/>
                <w:kern w:val="0"/>
                <w:szCs w:val="21"/>
              </w:rPr>
            </w:pPr>
            <w:r>
              <w:rPr>
                <w:rFonts w:hint="eastAsia" w:ascii="宋体" w:hAnsi="宋体" w:cs="宋体"/>
                <w:bCs/>
                <w:kern w:val="0"/>
                <w:szCs w:val="21"/>
              </w:rPr>
              <w:t>软件系统</w:t>
            </w:r>
          </w:p>
        </w:tc>
        <w:tc>
          <w:tcPr>
            <w:tcW w:w="1081" w:type="dxa"/>
            <w:vAlign w:val="center"/>
          </w:tcPr>
          <w:p>
            <w:pPr>
              <w:spacing w:line="276" w:lineRule="auto"/>
              <w:jc w:val="center"/>
              <w:rPr>
                <w:rFonts w:ascii="宋体" w:hAnsi="宋体" w:cs="宋体"/>
                <w:kern w:val="0"/>
                <w:szCs w:val="21"/>
              </w:rPr>
            </w:pPr>
            <w:r>
              <w:rPr>
                <w:rFonts w:hint="eastAsia" w:ascii="宋体" w:hAnsi="宋体" w:cs="宋体"/>
                <w:bCs/>
                <w:szCs w:val="21"/>
              </w:rPr>
              <w:t>1</w:t>
            </w:r>
          </w:p>
        </w:tc>
        <w:tc>
          <w:tcPr>
            <w:tcW w:w="1134" w:type="dxa"/>
            <w:vAlign w:val="center"/>
          </w:tcPr>
          <w:p>
            <w:pPr>
              <w:spacing w:line="276" w:lineRule="auto"/>
              <w:jc w:val="center"/>
              <w:rPr>
                <w:rFonts w:ascii="宋体" w:hAnsi="宋体" w:cs="宋体"/>
                <w:kern w:val="0"/>
                <w:szCs w:val="21"/>
              </w:rPr>
            </w:pPr>
            <w:r>
              <w:rPr>
                <w:rFonts w:hint="eastAsia" w:ascii="宋体" w:hAnsi="宋体" w:cs="宋体"/>
                <w:bCs/>
                <w:szCs w:val="21"/>
              </w:rPr>
              <w:t>套</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1.16</w:t>
            </w:r>
          </w:p>
        </w:tc>
        <w:tc>
          <w:tcPr>
            <w:tcW w:w="3969" w:type="dxa"/>
            <w:vAlign w:val="center"/>
          </w:tcPr>
          <w:p>
            <w:pPr>
              <w:widowControl/>
              <w:jc w:val="center"/>
              <w:textAlignment w:val="center"/>
              <w:rPr>
                <w:rFonts w:ascii="宋体" w:hAnsi="宋体" w:cs="宋体"/>
                <w:kern w:val="0"/>
                <w:szCs w:val="21"/>
              </w:rPr>
            </w:pPr>
            <w:r>
              <w:rPr>
                <w:rFonts w:hint="eastAsia" w:ascii="宋体" w:hAnsi="宋体" w:cs="宋体"/>
                <w:bCs/>
                <w:kern w:val="0"/>
                <w:szCs w:val="21"/>
              </w:rPr>
              <w:t>工作台</w:t>
            </w:r>
          </w:p>
        </w:tc>
        <w:tc>
          <w:tcPr>
            <w:tcW w:w="1081" w:type="dxa"/>
            <w:vAlign w:val="center"/>
          </w:tcPr>
          <w:p>
            <w:pPr>
              <w:spacing w:line="276" w:lineRule="auto"/>
              <w:jc w:val="center"/>
              <w:rPr>
                <w:rFonts w:ascii="宋体" w:hAnsi="宋体" w:cs="宋体"/>
                <w:kern w:val="0"/>
                <w:szCs w:val="21"/>
              </w:rPr>
            </w:pPr>
            <w:r>
              <w:rPr>
                <w:rFonts w:hint="eastAsia" w:ascii="宋体" w:hAnsi="宋体" w:cs="宋体"/>
                <w:bCs/>
                <w:szCs w:val="21"/>
              </w:rPr>
              <w:t>1</w:t>
            </w:r>
          </w:p>
        </w:tc>
        <w:tc>
          <w:tcPr>
            <w:tcW w:w="1134" w:type="dxa"/>
            <w:vAlign w:val="center"/>
          </w:tcPr>
          <w:p>
            <w:pPr>
              <w:spacing w:line="276" w:lineRule="auto"/>
              <w:jc w:val="center"/>
              <w:rPr>
                <w:rFonts w:ascii="宋体" w:hAnsi="宋体" w:cs="宋体"/>
                <w:kern w:val="0"/>
                <w:szCs w:val="21"/>
              </w:rPr>
            </w:pPr>
            <w:r>
              <w:rPr>
                <w:rFonts w:hint="eastAsia" w:ascii="宋体" w:hAnsi="宋体" w:cs="宋体"/>
                <w:bCs/>
                <w:szCs w:val="21"/>
              </w:rPr>
              <w:t>台</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1.17</w:t>
            </w:r>
          </w:p>
        </w:tc>
        <w:tc>
          <w:tcPr>
            <w:tcW w:w="3969" w:type="dxa"/>
            <w:vAlign w:val="center"/>
          </w:tcPr>
          <w:p>
            <w:pPr>
              <w:widowControl/>
              <w:jc w:val="center"/>
              <w:textAlignment w:val="center"/>
              <w:rPr>
                <w:rFonts w:ascii="宋体" w:hAnsi="宋体" w:cs="宋体"/>
                <w:bCs/>
                <w:kern w:val="0"/>
                <w:szCs w:val="21"/>
              </w:rPr>
            </w:pPr>
            <w:r>
              <w:rPr>
                <w:rFonts w:hint="eastAsia" w:ascii="宋体" w:hAnsi="宋体" w:cs="宋体"/>
                <w:bCs/>
                <w:kern w:val="0"/>
                <w:szCs w:val="21"/>
              </w:rPr>
              <w:t>对接体检软件</w:t>
            </w:r>
          </w:p>
        </w:tc>
        <w:tc>
          <w:tcPr>
            <w:tcW w:w="1081" w:type="dxa"/>
            <w:vAlign w:val="center"/>
          </w:tcPr>
          <w:p>
            <w:pPr>
              <w:spacing w:line="276" w:lineRule="auto"/>
              <w:jc w:val="center"/>
              <w:rPr>
                <w:rFonts w:ascii="宋体" w:hAnsi="宋体" w:cs="宋体"/>
                <w:kern w:val="0"/>
                <w:szCs w:val="21"/>
              </w:rPr>
            </w:pPr>
            <w:r>
              <w:rPr>
                <w:rFonts w:hint="eastAsia" w:ascii="宋体" w:hAnsi="宋体" w:cs="宋体"/>
                <w:bCs/>
                <w:szCs w:val="21"/>
              </w:rPr>
              <w:t>1</w:t>
            </w:r>
          </w:p>
        </w:tc>
        <w:tc>
          <w:tcPr>
            <w:tcW w:w="1134" w:type="dxa"/>
            <w:vAlign w:val="center"/>
          </w:tcPr>
          <w:p>
            <w:pPr>
              <w:spacing w:line="276" w:lineRule="auto"/>
              <w:jc w:val="center"/>
              <w:rPr>
                <w:rFonts w:ascii="宋体" w:hAnsi="宋体" w:cs="宋体"/>
                <w:kern w:val="0"/>
                <w:szCs w:val="21"/>
              </w:rPr>
            </w:pPr>
            <w:r>
              <w:rPr>
                <w:rFonts w:hint="eastAsia" w:ascii="宋体" w:hAnsi="宋体" w:cs="宋体"/>
                <w:bCs/>
                <w:szCs w:val="21"/>
              </w:rPr>
              <w:t>套</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bl>
    <w:p>
      <w:pPr>
        <w:widowControl/>
        <w:snapToGrid w:val="0"/>
        <w:spacing w:line="360" w:lineRule="auto"/>
        <w:ind w:left="2"/>
        <w:jc w:val="left"/>
        <w:rPr>
          <w:rFonts w:ascii="宋体" w:hAnsi="宋体"/>
          <w:bCs/>
          <w:snapToGrid w:val="0"/>
          <w:kern w:val="0"/>
          <w:szCs w:val="21"/>
        </w:rPr>
      </w:pPr>
    </w:p>
    <w:p>
      <w:pPr>
        <w:pStyle w:val="453"/>
        <w:adjustRightInd w:val="0"/>
        <w:snapToGrid w:val="0"/>
        <w:spacing w:before="0" w:beforeAutospacing="0" w:after="0" w:afterAutospacing="0" w:line="360" w:lineRule="auto"/>
        <w:ind w:firstLine="424" w:firstLineChars="202"/>
        <w:rPr>
          <w:rFonts w:ascii="宋体" w:hAnsi="宋体" w:eastAsia="宋体"/>
          <w:b/>
          <w:snapToGrid w:val="0"/>
          <w:color w:val="auto"/>
          <w:sz w:val="21"/>
          <w:szCs w:val="21"/>
          <w:highlight w:val="yellow"/>
        </w:rPr>
      </w:pPr>
      <w:r>
        <w:rPr>
          <w:rFonts w:hint="eastAsia" w:ascii="宋体" w:hAnsi="宋体" w:eastAsia="宋体" w:cs="Times New Roman"/>
          <w:color w:val="auto"/>
          <w:kern w:val="2"/>
          <w:sz w:val="21"/>
          <w:szCs w:val="21"/>
          <w:highlight w:val="yellow"/>
        </w:rPr>
        <w:t>注：</w:t>
      </w:r>
    </w:p>
    <w:p>
      <w:pPr>
        <w:widowControl/>
        <w:snapToGrid w:val="0"/>
        <w:spacing w:line="360" w:lineRule="auto"/>
        <w:ind w:left="2" w:firstLine="422" w:firstLineChars="201"/>
        <w:jc w:val="left"/>
        <w:rPr>
          <w:rFonts w:ascii="宋体" w:hAnsi="宋体"/>
          <w:bCs/>
          <w:snapToGrid w:val="0"/>
          <w:kern w:val="0"/>
          <w:szCs w:val="21"/>
        </w:rPr>
      </w:pPr>
      <w:r>
        <w:rPr>
          <w:rFonts w:hint="eastAsia" w:ascii="宋体" w:hAnsi="宋体"/>
          <w:bCs/>
          <w:snapToGrid w:val="0"/>
          <w:kern w:val="0"/>
          <w:szCs w:val="21"/>
          <w:highlight w:val="yellow"/>
        </w:rPr>
        <w:t>（</w:t>
      </w:r>
      <w:r>
        <w:rPr>
          <w:rFonts w:hint="eastAsia" w:ascii="宋体" w:hAnsi="宋体"/>
          <w:bCs/>
          <w:snapToGrid w:val="0"/>
          <w:kern w:val="0"/>
          <w:szCs w:val="21"/>
          <w:highlight w:val="yellow"/>
          <w:lang w:val="en-US" w:eastAsia="zh-CN"/>
        </w:rPr>
        <w:t>1</w:t>
      </w:r>
      <w:r>
        <w:rPr>
          <w:rFonts w:hint="eastAsia" w:ascii="宋体" w:hAnsi="宋体"/>
          <w:bCs/>
          <w:snapToGrid w:val="0"/>
          <w:kern w:val="0"/>
          <w:szCs w:val="21"/>
          <w:highlight w:val="yellow"/>
        </w:rPr>
        <w:t>）如同时有两家或两家以上（均为制造商的合法代理商）通过资格审查及符合性审查的合格投标人</w:t>
      </w:r>
      <w:r>
        <w:rPr>
          <w:rFonts w:hint="eastAsia" w:ascii="宋体" w:hAnsi="宋体"/>
          <w:b/>
          <w:bCs/>
          <w:snapToGrid w:val="0"/>
          <w:kern w:val="0"/>
          <w:szCs w:val="21"/>
          <w:highlight w:val="yellow"/>
        </w:rPr>
        <w:t>所投产品（动脉硬化检测装置）为相同品牌的，按一家投标人计算</w:t>
      </w:r>
      <w:r>
        <w:rPr>
          <w:rFonts w:hint="eastAsia" w:ascii="宋体" w:hAnsi="宋体"/>
          <w:bCs/>
          <w:snapToGrid w:val="0"/>
          <w:kern w:val="0"/>
          <w:szCs w:val="21"/>
          <w:highlight w:val="yellow"/>
        </w:rPr>
        <w:t>。在此种情况下，评审后得分最高的</w:t>
      </w:r>
      <w:r>
        <w:rPr>
          <w:rFonts w:hint="eastAsia" w:asciiTheme="minorEastAsia" w:hAnsiTheme="minorEastAsia" w:eastAsiaTheme="minorEastAsia"/>
          <w:color w:val="333333"/>
          <w:highlight w:val="yellow"/>
        </w:rPr>
        <w:t>同品牌</w:t>
      </w:r>
      <w:r>
        <w:rPr>
          <w:rFonts w:hint="eastAsia" w:ascii="宋体" w:hAnsi="宋体"/>
          <w:bCs/>
          <w:snapToGrid w:val="0"/>
          <w:kern w:val="0"/>
          <w:szCs w:val="21"/>
          <w:highlight w:val="yellow"/>
        </w:rPr>
        <w:t>投标人获得中标人推荐资格；评审得分相同的由报价相对最低的获得中标人推荐资格；评审得分及报价均相同的由技术部分评分相对最高的获得中标人推荐资格；</w:t>
      </w:r>
      <w:r>
        <w:rPr>
          <w:rFonts w:hint="eastAsia"/>
          <w:snapToGrid w:val="0"/>
          <w:kern w:val="0"/>
          <w:highlight w:val="yellow"/>
        </w:rPr>
        <w:t>以上均相同的由评标委员会采取随机抽取方式确定</w:t>
      </w:r>
      <w:r>
        <w:rPr>
          <w:rFonts w:hint="eastAsia" w:ascii="宋体" w:hAnsi="宋体"/>
          <w:bCs/>
          <w:snapToGrid w:val="0"/>
          <w:kern w:val="0"/>
          <w:szCs w:val="21"/>
          <w:highlight w:val="yellow"/>
        </w:rPr>
        <w:t>，其他同品牌投标人不作为中标候选人。</w:t>
      </w:r>
    </w:p>
    <w:p>
      <w:pPr>
        <w:adjustRightInd w:val="0"/>
        <w:snapToGrid w:val="0"/>
        <w:spacing w:line="360" w:lineRule="auto"/>
        <w:ind w:firstLine="422" w:firstLineChars="201"/>
        <w:rPr>
          <w:rFonts w:ascii="宋体" w:hAnsi="宋体"/>
          <w:b/>
          <w:bCs/>
          <w:snapToGrid w:val="0"/>
          <w:kern w:val="0"/>
          <w:szCs w:val="21"/>
        </w:rPr>
      </w:pPr>
      <w:r>
        <w:rPr>
          <w:rFonts w:hint="eastAsia" w:ascii="宋体" w:hAnsi="宋体"/>
          <w:bCs/>
          <w:snapToGrid w:val="0"/>
          <w:kern w:val="0"/>
          <w:szCs w:val="21"/>
        </w:rPr>
        <w:t>（</w:t>
      </w:r>
      <w:r>
        <w:rPr>
          <w:rFonts w:hint="eastAsia" w:ascii="宋体" w:hAnsi="宋体"/>
          <w:bCs/>
          <w:snapToGrid w:val="0"/>
          <w:kern w:val="0"/>
          <w:szCs w:val="21"/>
          <w:lang w:val="en-US" w:eastAsia="zh-CN"/>
        </w:rPr>
        <w:t>2</w:t>
      </w:r>
      <w:r>
        <w:rPr>
          <w:rFonts w:hint="eastAsia" w:ascii="宋体" w:hAnsi="宋体"/>
          <w:bCs/>
          <w:snapToGrid w:val="0"/>
          <w:kern w:val="0"/>
          <w:szCs w:val="21"/>
        </w:rPr>
        <w:t>）</w:t>
      </w:r>
      <w:r>
        <w:rPr>
          <w:rFonts w:hint="eastAsia" w:ascii="宋体" w:hAnsi="宋体"/>
          <w:szCs w:val="21"/>
        </w:rPr>
        <w:t>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hint="eastAsia" w:ascii="宋体" w:hAnsi="宋体"/>
          <w:bCs/>
          <w:snapToGrid w:val="0"/>
          <w:kern w:val="0"/>
          <w:szCs w:val="21"/>
        </w:rPr>
        <w:t>致的，按照“少数服从多数”的原则确定评标委员会的意见。</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w:t>
      </w:r>
      <w:r>
        <w:rPr>
          <w:rFonts w:hint="eastAsia" w:ascii="宋体" w:hAnsi="宋体"/>
          <w:bCs/>
          <w:snapToGrid w:val="0"/>
          <w:kern w:val="0"/>
          <w:szCs w:val="21"/>
          <w:lang w:val="en-US" w:eastAsia="zh-CN"/>
        </w:rPr>
        <w:t>3</w:t>
      </w:r>
      <w:r>
        <w:rPr>
          <w:rFonts w:hint="eastAsia" w:ascii="宋体" w:hAnsi="宋体"/>
          <w:bCs/>
          <w:snapToGrid w:val="0"/>
          <w:kern w:val="0"/>
          <w:szCs w:val="21"/>
        </w:rPr>
        <w:t xml:space="preserve">）备注栏注明“拒绝进口”的产品不接受投标人选用进口产品参与投标；注明“接受进口”的产品允许投标人选用进口产品参与投标，但不排斥国内产品。 </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w:t>
      </w:r>
      <w:r>
        <w:rPr>
          <w:rFonts w:hint="eastAsia" w:ascii="宋体" w:hAnsi="宋体"/>
          <w:bCs/>
          <w:snapToGrid w:val="0"/>
          <w:kern w:val="0"/>
          <w:szCs w:val="21"/>
          <w:lang w:val="en-US" w:eastAsia="zh-CN"/>
        </w:rPr>
        <w:t>4</w:t>
      </w:r>
      <w:r>
        <w:rPr>
          <w:rFonts w:hint="eastAsia" w:ascii="宋体" w:hAnsi="宋体"/>
          <w:bCs/>
          <w:snapToGrid w:val="0"/>
          <w:kern w:val="0"/>
          <w:szCs w:val="21"/>
        </w:rPr>
        <w:t>）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pPr>
        <w:pStyle w:val="453"/>
        <w:adjustRightInd w:val="0"/>
        <w:snapToGrid w:val="0"/>
        <w:spacing w:before="0" w:beforeAutospacing="0" w:after="0" w:afterAutospacing="0" w:line="360" w:lineRule="auto"/>
        <w:ind w:firstLine="426" w:firstLineChars="202"/>
        <w:rPr>
          <w:rFonts w:asciiTheme="minorEastAsia" w:hAnsiTheme="minorEastAsia" w:eastAsiaTheme="minorEastAsia"/>
          <w:b/>
          <w:bCs/>
          <w:snapToGrid w:val="0"/>
          <w:color w:val="auto"/>
          <w:sz w:val="21"/>
          <w:highlight w:val="yellow"/>
        </w:rPr>
      </w:pPr>
      <w:r>
        <w:rPr>
          <w:rFonts w:hint="eastAsia" w:asciiTheme="minorEastAsia" w:hAnsiTheme="minorEastAsia" w:eastAsiaTheme="minorEastAsia"/>
          <w:b/>
          <w:bCs/>
          <w:snapToGrid w:val="0"/>
          <w:color w:val="auto"/>
          <w:sz w:val="21"/>
          <w:highlight w:val="yellow"/>
        </w:rPr>
        <w:t>★（</w:t>
      </w:r>
      <w:r>
        <w:rPr>
          <w:rFonts w:hint="eastAsia" w:asciiTheme="minorEastAsia" w:hAnsiTheme="minorEastAsia" w:eastAsiaTheme="minorEastAsia"/>
          <w:b/>
          <w:bCs/>
          <w:snapToGrid w:val="0"/>
          <w:color w:val="auto"/>
          <w:sz w:val="21"/>
          <w:highlight w:val="yellow"/>
          <w:lang w:val="en-US" w:eastAsia="zh-CN"/>
        </w:rPr>
        <w:t>5</w:t>
      </w:r>
      <w:r>
        <w:rPr>
          <w:rFonts w:hint="eastAsia" w:asciiTheme="minorEastAsia" w:hAnsiTheme="minorEastAsia" w:eastAsiaTheme="minorEastAsia"/>
          <w:b/>
          <w:bCs/>
          <w:snapToGrid w:val="0"/>
          <w:color w:val="auto"/>
          <w:sz w:val="21"/>
          <w:highlight w:val="yellow"/>
        </w:rPr>
        <w:t>）若投标人为所投产品（动脉硬化检测装置）的生产企业，须提供《医疗器械生产许可证》或备案凭证，并有相应生产范围；若投标人为所投产品的代理商或授权供应商，须提供《医疗器械经营许可证》或备案凭证，并有相应经营范围；当所投产品属于第一类医疗器械时无须提供《医疗器械经营许可证》或备案凭证，但投标人应在投标文件中对其所属类别进行书面说明。以上资料均提供复印件或扫描件加盖投标人公章；</w:t>
      </w:r>
    </w:p>
    <w:p>
      <w:pPr>
        <w:pStyle w:val="18"/>
        <w:spacing w:line="360" w:lineRule="auto"/>
        <w:ind w:firstLine="422" w:firstLineChars="200"/>
        <w:rPr>
          <w:rFonts w:ascii="宋体" w:hAnsi="宋体"/>
          <w:bCs/>
          <w:snapToGrid w:val="0"/>
          <w:kern w:val="0"/>
          <w:szCs w:val="21"/>
        </w:rPr>
      </w:pPr>
      <w:r>
        <w:rPr>
          <w:rFonts w:hint="eastAsia" w:asciiTheme="minorEastAsia" w:hAnsiTheme="minorEastAsia" w:eastAsiaTheme="minorEastAsia"/>
          <w:b/>
          <w:bCs/>
          <w:snapToGrid w:val="0"/>
          <w:highlight w:val="yellow"/>
        </w:rPr>
        <w:t>★（</w:t>
      </w:r>
      <w:r>
        <w:rPr>
          <w:rFonts w:hint="eastAsia" w:asciiTheme="minorEastAsia" w:hAnsiTheme="minorEastAsia" w:eastAsiaTheme="minorEastAsia"/>
          <w:b/>
          <w:bCs/>
          <w:snapToGrid w:val="0"/>
          <w:highlight w:val="yellow"/>
          <w:lang w:val="en-US" w:eastAsia="zh-CN"/>
        </w:rPr>
        <w:t>6</w:t>
      </w:r>
      <w:r>
        <w:rPr>
          <w:rFonts w:hint="eastAsia" w:asciiTheme="minorEastAsia" w:hAnsiTheme="minorEastAsia" w:eastAsiaTheme="minorEastAsia"/>
          <w:b/>
          <w:bCs/>
          <w:snapToGrid w:val="0"/>
          <w:highlight w:val="yellow"/>
        </w:rPr>
        <w:t>）投标人必须具备所投产品</w:t>
      </w:r>
      <w:r>
        <w:rPr>
          <w:rFonts w:hint="eastAsia" w:ascii="宋体" w:hAnsi="宋体"/>
          <w:b/>
          <w:bCs/>
          <w:snapToGrid w:val="0"/>
          <w:kern w:val="0"/>
          <w:szCs w:val="21"/>
          <w:highlight w:val="yellow"/>
        </w:rPr>
        <w:t>（动脉硬化检测装置）</w:t>
      </w:r>
      <w:r>
        <w:rPr>
          <w:rFonts w:hint="eastAsia" w:asciiTheme="minorEastAsia" w:hAnsiTheme="minorEastAsia" w:eastAsiaTheme="minorEastAsia"/>
          <w:b/>
          <w:bCs/>
          <w:snapToGrid w:val="0"/>
          <w:highlight w:val="yellow"/>
        </w:rPr>
        <w:t>的《医疗器械产品注册（备案）证》（证明文件：须提供《医疗器械产品注册（备案）证》证书）。开标时，该注册证应在有效期内；若不在有效期内，则需提供该注册证和所投产品在该注册证有效期内生产的药监局出具的证明文件，或提供证明该设备是在注册证有效期内进口的《报关单》证明文件（进口设备），或在注册证有效期内出厂的证明文件（国产设备）。以上资料均提供复印件或扫描件加盖投标人公章。</w:t>
      </w:r>
    </w:p>
    <w:p>
      <w:pPr>
        <w:spacing w:line="360" w:lineRule="auto"/>
        <w:ind w:left="2" w:firstLine="484" w:firstLineChars="201"/>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二、技术要求</w:t>
      </w:r>
    </w:p>
    <w:tbl>
      <w:tblPr>
        <w:tblStyle w:val="50"/>
        <w:tblW w:w="96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259"/>
        <w:gridCol w:w="7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710" w:type="dxa"/>
            <w:vAlign w:val="center"/>
          </w:tcPr>
          <w:p>
            <w:pPr>
              <w:spacing w:line="360" w:lineRule="auto"/>
              <w:jc w:val="center"/>
              <w:rPr>
                <w:rFonts w:asciiTheme="majorEastAsia" w:hAnsiTheme="majorEastAsia" w:eastAsiaTheme="majorEastAsia"/>
                <w:b/>
                <w:szCs w:val="21"/>
              </w:rPr>
            </w:pPr>
            <w:r>
              <w:rPr>
                <w:rFonts w:hint="eastAsia" w:asciiTheme="majorEastAsia" w:hAnsiTheme="majorEastAsia" w:eastAsiaTheme="majorEastAsia"/>
                <w:b/>
                <w:szCs w:val="21"/>
              </w:rPr>
              <w:t>序号</w:t>
            </w:r>
          </w:p>
        </w:tc>
        <w:tc>
          <w:tcPr>
            <w:tcW w:w="1259" w:type="dxa"/>
            <w:vAlign w:val="center"/>
          </w:tcPr>
          <w:p>
            <w:pPr>
              <w:spacing w:line="360" w:lineRule="auto"/>
              <w:jc w:val="center"/>
              <w:rPr>
                <w:rFonts w:asciiTheme="majorEastAsia" w:hAnsiTheme="majorEastAsia" w:eastAsiaTheme="majorEastAsia"/>
                <w:b/>
                <w:szCs w:val="21"/>
              </w:rPr>
            </w:pPr>
            <w:r>
              <w:rPr>
                <w:rFonts w:hint="eastAsia" w:asciiTheme="majorEastAsia" w:hAnsiTheme="majorEastAsia" w:eastAsiaTheme="majorEastAsia"/>
                <w:b/>
                <w:szCs w:val="21"/>
              </w:rPr>
              <w:t>货物名称</w:t>
            </w:r>
          </w:p>
        </w:tc>
        <w:tc>
          <w:tcPr>
            <w:tcW w:w="7687" w:type="dxa"/>
            <w:vAlign w:val="center"/>
          </w:tcPr>
          <w:p>
            <w:pPr>
              <w:spacing w:line="360" w:lineRule="auto"/>
              <w:jc w:val="center"/>
              <w:rPr>
                <w:rFonts w:asciiTheme="majorEastAsia" w:hAnsiTheme="majorEastAsia" w:eastAsiaTheme="majorEastAsia"/>
                <w:b/>
                <w:szCs w:val="21"/>
              </w:rPr>
            </w:pPr>
            <w:r>
              <w:rPr>
                <w:rFonts w:hint="eastAsia" w:asciiTheme="majorEastAsia" w:hAnsiTheme="majorEastAsia" w:eastAsiaTheme="majorEastAsia"/>
                <w:b/>
                <w:szCs w:val="21"/>
              </w:rPr>
              <w:t>招标技术参数要求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0" w:type="dxa"/>
            <w:vMerge w:val="restart"/>
          </w:tcPr>
          <w:p>
            <w:pPr>
              <w:spacing w:line="360" w:lineRule="auto"/>
              <w:rPr>
                <w:rFonts w:asciiTheme="majorEastAsia" w:hAnsiTheme="majorEastAsia" w:eastAsiaTheme="majorEastAsia"/>
                <w:bCs/>
                <w:szCs w:val="21"/>
              </w:rPr>
            </w:pPr>
            <w:r>
              <w:rPr>
                <w:rFonts w:hint="eastAsia" w:asciiTheme="majorEastAsia" w:hAnsiTheme="majorEastAsia" w:eastAsiaTheme="majorEastAsia"/>
                <w:bCs/>
                <w:szCs w:val="21"/>
              </w:rPr>
              <w:t>1</w:t>
            </w:r>
          </w:p>
        </w:tc>
        <w:tc>
          <w:tcPr>
            <w:tcW w:w="1259" w:type="dxa"/>
            <w:vMerge w:val="restart"/>
          </w:tcPr>
          <w:p>
            <w:pPr>
              <w:spacing w:line="360" w:lineRule="auto"/>
              <w:rPr>
                <w:rFonts w:asciiTheme="majorEastAsia" w:hAnsiTheme="majorEastAsia" w:eastAsiaTheme="majorEastAsia"/>
                <w:bCs/>
                <w:szCs w:val="21"/>
              </w:rPr>
            </w:pPr>
            <w:r>
              <w:rPr>
                <w:rFonts w:hint="eastAsia" w:ascii="宋体" w:hAnsi="宋体" w:cs="宋体"/>
                <w:kern w:val="0"/>
                <w:szCs w:val="21"/>
              </w:rPr>
              <w:t>动脉硬化检测装置</w:t>
            </w:r>
          </w:p>
        </w:tc>
        <w:tc>
          <w:tcPr>
            <w:tcW w:w="7687" w:type="dxa"/>
            <w:vAlign w:val="center"/>
          </w:tcPr>
          <w:p>
            <w:pPr>
              <w:pStyle w:val="18"/>
              <w:rPr>
                <w:bCs/>
                <w:szCs w:val="21"/>
              </w:rPr>
            </w:pPr>
            <w:r>
              <w:rPr>
                <w:rFonts w:hint="eastAsia" w:asciiTheme="majorEastAsia" w:hAnsiTheme="majorEastAsia" w:eastAsiaTheme="majorEastAsia"/>
                <w:b/>
                <w:szCs w:val="21"/>
              </w:rPr>
              <w:t>一、主机参数（按照配置清单逐一描述）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10" w:type="dxa"/>
            <w:vMerge w:val="continue"/>
          </w:tcPr>
          <w:p>
            <w:pPr>
              <w:spacing w:line="360" w:lineRule="auto"/>
              <w:rPr>
                <w:rFonts w:asciiTheme="majorEastAsia" w:hAnsiTheme="majorEastAsia" w:eastAsiaTheme="majorEastAsia"/>
                <w:bCs/>
                <w:szCs w:val="21"/>
              </w:rPr>
            </w:pPr>
          </w:p>
        </w:tc>
        <w:tc>
          <w:tcPr>
            <w:tcW w:w="1259" w:type="dxa"/>
            <w:vMerge w:val="continue"/>
          </w:tcPr>
          <w:p>
            <w:pPr>
              <w:spacing w:line="360" w:lineRule="auto"/>
              <w:rPr>
                <w:rFonts w:asciiTheme="majorEastAsia" w:hAnsiTheme="majorEastAsia" w:eastAsiaTheme="majorEastAsia"/>
                <w:bCs/>
                <w:szCs w:val="21"/>
              </w:rPr>
            </w:pPr>
          </w:p>
        </w:tc>
        <w:tc>
          <w:tcPr>
            <w:tcW w:w="7687" w:type="dxa"/>
            <w:vAlign w:val="center"/>
          </w:tcPr>
          <w:p>
            <w:pPr>
              <w:widowControl/>
              <w:spacing w:line="360" w:lineRule="auto"/>
              <w:rPr>
                <w:bCs/>
                <w:szCs w:val="21"/>
              </w:rPr>
            </w:pPr>
            <w:r>
              <w:rPr>
                <w:rFonts w:hint="eastAsia" w:ascii="宋体" w:hAnsi="宋体" w:cs="宋体"/>
                <w:color w:val="000000"/>
                <w:kern w:val="0"/>
                <w:szCs w:val="21"/>
              </w:rPr>
              <w:t xml:space="preserve">1检测功能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10" w:type="dxa"/>
            <w:vMerge w:val="continue"/>
          </w:tcPr>
          <w:p>
            <w:pPr>
              <w:spacing w:line="360" w:lineRule="auto"/>
              <w:rPr>
                <w:rFonts w:asciiTheme="majorEastAsia" w:hAnsiTheme="majorEastAsia" w:eastAsiaTheme="majorEastAsia"/>
                <w:bCs/>
                <w:szCs w:val="21"/>
              </w:rPr>
            </w:pPr>
          </w:p>
        </w:tc>
        <w:tc>
          <w:tcPr>
            <w:tcW w:w="1259" w:type="dxa"/>
            <w:vMerge w:val="continue"/>
          </w:tcPr>
          <w:p>
            <w:pPr>
              <w:spacing w:line="360" w:lineRule="auto"/>
              <w:rPr>
                <w:rFonts w:asciiTheme="majorEastAsia" w:hAnsiTheme="majorEastAsia" w:eastAsiaTheme="majorEastAsia"/>
                <w:bCs/>
                <w:szCs w:val="21"/>
              </w:rPr>
            </w:pPr>
          </w:p>
        </w:tc>
        <w:tc>
          <w:tcPr>
            <w:tcW w:w="7687" w:type="dxa"/>
            <w:vAlign w:val="center"/>
          </w:tcPr>
          <w:p>
            <w:pPr>
              <w:widowControl/>
              <w:spacing w:line="360" w:lineRule="auto"/>
              <w:rPr>
                <w:bCs/>
                <w:szCs w:val="21"/>
              </w:rPr>
            </w:pPr>
            <w:r>
              <w:rPr>
                <w:rStyle w:val="169"/>
                <w:rFonts w:ascii="宋体" w:hAnsi="宋体" w:cs="宋体"/>
                <w:sz w:val="21"/>
                <w:szCs w:val="21"/>
              </w:rPr>
              <w:t>1.1</w:t>
            </w:r>
            <w:r>
              <w:rPr>
                <w:rStyle w:val="167"/>
                <w:rFonts w:ascii="宋体" w:hAnsi="宋体" w:cs="宋体"/>
                <w:sz w:val="21"/>
                <w:szCs w:val="21"/>
              </w:rPr>
              <w:t>具有</w:t>
            </w:r>
            <w:r>
              <w:rPr>
                <w:rStyle w:val="169"/>
                <w:rFonts w:ascii="宋体" w:hAnsi="宋体" w:cs="宋体"/>
                <w:sz w:val="21"/>
                <w:szCs w:val="21"/>
              </w:rPr>
              <w:t xml:space="preserve">血管狭窄检测单元，用于下肢动脉粥样硬化全自动检测及心血管事件发病风险的预测，主要检测参数：ABI：踝臂指数, UT：脉波上升时间、%MAP：平均动脉压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0" w:type="dxa"/>
            <w:vMerge w:val="continue"/>
          </w:tcPr>
          <w:p>
            <w:pPr>
              <w:spacing w:line="360" w:lineRule="auto"/>
              <w:rPr>
                <w:rFonts w:asciiTheme="majorEastAsia" w:hAnsiTheme="majorEastAsia" w:eastAsiaTheme="majorEastAsia"/>
                <w:bCs/>
                <w:szCs w:val="21"/>
              </w:rPr>
            </w:pPr>
          </w:p>
        </w:tc>
        <w:tc>
          <w:tcPr>
            <w:tcW w:w="1259" w:type="dxa"/>
            <w:vMerge w:val="continue"/>
          </w:tcPr>
          <w:p>
            <w:pPr>
              <w:spacing w:line="360" w:lineRule="auto"/>
              <w:rPr>
                <w:rFonts w:asciiTheme="majorEastAsia" w:hAnsiTheme="majorEastAsia" w:eastAsiaTheme="majorEastAsia"/>
                <w:bCs/>
                <w:szCs w:val="21"/>
              </w:rPr>
            </w:pPr>
          </w:p>
        </w:tc>
        <w:tc>
          <w:tcPr>
            <w:tcW w:w="7687" w:type="dxa"/>
            <w:vAlign w:val="center"/>
          </w:tcPr>
          <w:p>
            <w:pPr>
              <w:widowControl/>
              <w:spacing w:line="360" w:lineRule="auto"/>
              <w:rPr>
                <w:bCs/>
                <w:szCs w:val="21"/>
              </w:rPr>
            </w:pPr>
            <w:r>
              <w:rPr>
                <w:rStyle w:val="169"/>
                <w:rFonts w:ascii="宋体" w:hAnsi="宋体" w:cs="宋体"/>
                <w:sz w:val="21"/>
                <w:szCs w:val="21"/>
              </w:rPr>
              <w:t>1.2</w:t>
            </w:r>
            <w:r>
              <w:rPr>
                <w:rStyle w:val="167"/>
                <w:rFonts w:ascii="宋体" w:hAnsi="宋体" w:cs="宋体"/>
                <w:sz w:val="21"/>
                <w:szCs w:val="21"/>
              </w:rPr>
              <w:t>具有</w:t>
            </w:r>
            <w:r>
              <w:rPr>
                <w:rStyle w:val="169"/>
                <w:rFonts w:ascii="宋体" w:hAnsi="宋体" w:cs="宋体"/>
                <w:sz w:val="21"/>
                <w:szCs w:val="21"/>
              </w:rPr>
              <w:t>血管硬化检测单元，用于全身动脉硬化的早期检测和临床药物评价的重要检测指标，主要检测参数：baPWV(左)baPWV(右) 、haPWV（左）haPWV（右）、hbPWV（左）hbPWV（右）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0" w:type="dxa"/>
            <w:vMerge w:val="continue"/>
          </w:tcPr>
          <w:p>
            <w:pPr>
              <w:spacing w:line="360" w:lineRule="auto"/>
              <w:rPr>
                <w:rFonts w:asciiTheme="majorEastAsia" w:hAnsiTheme="majorEastAsia" w:eastAsiaTheme="majorEastAsia"/>
                <w:bCs/>
                <w:szCs w:val="21"/>
              </w:rPr>
            </w:pPr>
          </w:p>
        </w:tc>
        <w:tc>
          <w:tcPr>
            <w:tcW w:w="1259" w:type="dxa"/>
            <w:vMerge w:val="continue"/>
          </w:tcPr>
          <w:p>
            <w:pPr>
              <w:spacing w:line="360" w:lineRule="auto"/>
              <w:rPr>
                <w:rFonts w:asciiTheme="majorEastAsia" w:hAnsiTheme="majorEastAsia" w:eastAsiaTheme="majorEastAsia"/>
                <w:bCs/>
                <w:szCs w:val="21"/>
              </w:rPr>
            </w:pPr>
          </w:p>
        </w:tc>
        <w:tc>
          <w:tcPr>
            <w:tcW w:w="7687" w:type="dxa"/>
            <w:vAlign w:val="center"/>
          </w:tcPr>
          <w:p>
            <w:pPr>
              <w:widowControl/>
              <w:spacing w:line="360" w:lineRule="auto"/>
              <w:rPr>
                <w:bCs/>
                <w:szCs w:val="21"/>
              </w:rPr>
            </w:pPr>
            <w:r>
              <w:rPr>
                <w:rStyle w:val="169"/>
                <w:rFonts w:ascii="宋体" w:hAnsi="宋体" w:cs="宋体"/>
                <w:sz w:val="21"/>
                <w:szCs w:val="21"/>
              </w:rPr>
              <w:t>1.3具有糖尿病足检测单元，用于下肢末稍动脉狭窄、阻塞的重症度，主要评价指标：TP：脚趾血压、TBI：趾臂指数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0" w:type="dxa"/>
            <w:vMerge w:val="continue"/>
          </w:tcPr>
          <w:p>
            <w:pPr>
              <w:spacing w:line="360" w:lineRule="auto"/>
              <w:rPr>
                <w:rFonts w:asciiTheme="majorEastAsia" w:hAnsiTheme="majorEastAsia" w:eastAsiaTheme="majorEastAsia"/>
                <w:bCs/>
                <w:szCs w:val="21"/>
              </w:rPr>
            </w:pPr>
          </w:p>
        </w:tc>
        <w:tc>
          <w:tcPr>
            <w:tcW w:w="1259" w:type="dxa"/>
            <w:vMerge w:val="continue"/>
          </w:tcPr>
          <w:p>
            <w:pPr>
              <w:spacing w:line="360" w:lineRule="auto"/>
              <w:rPr>
                <w:rFonts w:asciiTheme="majorEastAsia" w:hAnsiTheme="majorEastAsia" w:eastAsiaTheme="majorEastAsia"/>
                <w:bCs/>
                <w:szCs w:val="21"/>
              </w:rPr>
            </w:pPr>
          </w:p>
        </w:tc>
        <w:tc>
          <w:tcPr>
            <w:tcW w:w="7687" w:type="dxa"/>
            <w:vAlign w:val="center"/>
          </w:tcPr>
          <w:p>
            <w:pPr>
              <w:widowControl/>
              <w:spacing w:line="360" w:lineRule="auto"/>
              <w:rPr>
                <w:bCs/>
                <w:szCs w:val="21"/>
              </w:rPr>
            </w:pPr>
            <w:r>
              <w:rPr>
                <w:rFonts w:hint="eastAsia" w:cs="宋体" w:asciiTheme="majorEastAsia" w:hAnsiTheme="majorEastAsia" w:eastAsiaTheme="majorEastAsia"/>
                <w:b/>
                <w:sz w:val="24"/>
              </w:rPr>
              <w:t>▲</w:t>
            </w:r>
            <w:r>
              <w:rPr>
                <w:rStyle w:val="169"/>
                <w:rFonts w:ascii="宋体" w:hAnsi="宋体" w:cs="宋体"/>
                <w:sz w:val="21"/>
                <w:szCs w:val="21"/>
              </w:rPr>
              <w:t>1.4</w:t>
            </w:r>
            <w:r>
              <w:rPr>
                <w:rStyle w:val="167"/>
                <w:rFonts w:ascii="宋体" w:hAnsi="宋体" w:cs="宋体"/>
                <w:sz w:val="21"/>
                <w:szCs w:val="21"/>
              </w:rPr>
              <w:t>具有</w:t>
            </w:r>
            <w:r>
              <w:rPr>
                <w:rStyle w:val="169"/>
                <w:rFonts w:ascii="宋体" w:hAnsi="宋体" w:cs="宋体"/>
                <w:sz w:val="21"/>
                <w:szCs w:val="21"/>
              </w:rPr>
              <w:t>自主神经功能检测单元，用于糖尿病性自主神经功能障碍及各种神经疾病中的自主神经功能检查，主要评估参数：R-R间隔标准偏差、R-R间隔平均值、HR平均值：心率的平均值、CVRR：心电图R-R间隔变动系数， 对比曲线图：R-R间隔的对比曲线图，趋势曲线图：R-R间隔的趋势曲线图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10" w:type="dxa"/>
            <w:vMerge w:val="continue"/>
          </w:tcPr>
          <w:p>
            <w:pPr>
              <w:spacing w:line="360" w:lineRule="auto"/>
              <w:rPr>
                <w:rFonts w:asciiTheme="majorEastAsia" w:hAnsiTheme="majorEastAsia" w:eastAsiaTheme="majorEastAsia"/>
                <w:bCs/>
                <w:szCs w:val="21"/>
              </w:rPr>
            </w:pPr>
          </w:p>
        </w:tc>
        <w:tc>
          <w:tcPr>
            <w:tcW w:w="1259" w:type="dxa"/>
            <w:vMerge w:val="continue"/>
          </w:tcPr>
          <w:p>
            <w:pPr>
              <w:spacing w:line="360" w:lineRule="auto"/>
              <w:rPr>
                <w:rFonts w:asciiTheme="majorEastAsia" w:hAnsiTheme="majorEastAsia" w:eastAsiaTheme="majorEastAsia"/>
                <w:bCs/>
                <w:szCs w:val="21"/>
              </w:rPr>
            </w:pPr>
          </w:p>
        </w:tc>
        <w:tc>
          <w:tcPr>
            <w:tcW w:w="7687" w:type="dxa"/>
            <w:vAlign w:val="center"/>
          </w:tcPr>
          <w:p>
            <w:pPr>
              <w:widowControl/>
              <w:jc w:val="left"/>
              <w:textAlignment w:val="center"/>
              <w:rPr>
                <w:rStyle w:val="169"/>
                <w:rFonts w:ascii="宋体" w:hAnsi="宋体" w:cs="宋体"/>
                <w:sz w:val="21"/>
                <w:szCs w:val="21"/>
              </w:rPr>
            </w:pPr>
            <w:r>
              <w:rPr>
                <w:rStyle w:val="169"/>
                <w:rFonts w:ascii="宋体" w:hAnsi="宋体" w:cs="宋体"/>
                <w:sz w:val="21"/>
                <w:szCs w:val="21"/>
              </w:rPr>
              <w:t>1.5</w:t>
            </w:r>
            <w:r>
              <w:rPr>
                <w:rStyle w:val="167"/>
                <w:rFonts w:ascii="宋体" w:hAnsi="宋体" w:cs="宋体"/>
                <w:sz w:val="21"/>
                <w:szCs w:val="21"/>
              </w:rPr>
              <w:t>具有</w:t>
            </w:r>
            <w:r>
              <w:rPr>
                <w:rStyle w:val="169"/>
                <w:rFonts w:ascii="宋体" w:hAnsi="宋体" w:cs="宋体"/>
                <w:sz w:val="21"/>
                <w:szCs w:val="21"/>
              </w:rPr>
              <w:t>心功能检测单元，用于心脏功能定量化的评价指标</w:t>
            </w:r>
            <w:r>
              <w:rPr>
                <w:rStyle w:val="169"/>
                <w:rFonts w:ascii="宋体" w:hAnsi="宋体" w:cs="宋体"/>
                <w:sz w:val="21"/>
                <w:szCs w:val="21"/>
              </w:rPr>
              <w:br w:type="textWrapping"/>
            </w:r>
            <w:r>
              <w:rPr>
                <w:rStyle w:val="169"/>
                <w:rFonts w:ascii="宋体" w:hAnsi="宋体" w:cs="宋体"/>
                <w:sz w:val="21"/>
                <w:szCs w:val="21"/>
              </w:rPr>
              <w:t>STI：心脏功能评价，同时记录心电图、心音图和脉搏图进行测量、</w:t>
            </w:r>
          </w:p>
          <w:p>
            <w:pPr>
              <w:widowControl/>
              <w:spacing w:line="360" w:lineRule="auto"/>
              <w:rPr>
                <w:bCs/>
                <w:szCs w:val="21"/>
              </w:rPr>
            </w:pPr>
            <w:r>
              <w:rPr>
                <w:rStyle w:val="169"/>
                <w:rFonts w:ascii="宋体" w:hAnsi="宋体" w:cs="宋体"/>
                <w:sz w:val="21"/>
                <w:szCs w:val="21"/>
              </w:rPr>
              <w:t xml:space="preserve">PEP：射血前期、ET：射血时间、ET/PEP：射血指数、AI:反射波增益指数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0" w:type="dxa"/>
            <w:vMerge w:val="continue"/>
          </w:tcPr>
          <w:p>
            <w:pPr>
              <w:spacing w:line="360" w:lineRule="auto"/>
              <w:rPr>
                <w:rFonts w:asciiTheme="majorEastAsia" w:hAnsiTheme="majorEastAsia" w:eastAsiaTheme="majorEastAsia"/>
                <w:bCs/>
                <w:szCs w:val="21"/>
              </w:rPr>
            </w:pPr>
          </w:p>
        </w:tc>
        <w:tc>
          <w:tcPr>
            <w:tcW w:w="1259" w:type="dxa"/>
            <w:vMerge w:val="continue"/>
          </w:tcPr>
          <w:p>
            <w:pPr>
              <w:spacing w:line="360" w:lineRule="auto"/>
              <w:rPr>
                <w:rFonts w:asciiTheme="majorEastAsia" w:hAnsiTheme="majorEastAsia" w:eastAsiaTheme="majorEastAsia"/>
                <w:bCs/>
                <w:szCs w:val="21"/>
              </w:rPr>
            </w:pPr>
          </w:p>
        </w:tc>
        <w:tc>
          <w:tcPr>
            <w:tcW w:w="7687" w:type="dxa"/>
            <w:vAlign w:val="center"/>
          </w:tcPr>
          <w:p>
            <w:pPr>
              <w:widowControl/>
              <w:spacing w:line="360" w:lineRule="auto"/>
              <w:rPr>
                <w:bCs/>
                <w:szCs w:val="21"/>
              </w:rPr>
            </w:pPr>
            <w:r>
              <w:rPr>
                <w:rStyle w:val="169"/>
                <w:rFonts w:ascii="宋体" w:hAnsi="宋体" w:cs="宋体"/>
                <w:sz w:val="21"/>
                <w:szCs w:val="21"/>
              </w:rPr>
              <w:t>1.6运动负荷试验检测单元 判断ABI处于临界点或伴有间歇性跛行的患者是否存在下肢动脉疾病。辅助参数 ECG(心电)PCG:(心音)、SP（收缩压）、DP（舒张压）、EP（平均压）、PVR（脉搏容积记录）、STI（心脏功能评价）、HR（心率）、 PEP（射血前期）、ET（射血时间）、ET/PEP（射血指数）CVRR（自主神经功能）等</w:t>
            </w:r>
            <w:r>
              <w:rPr>
                <w:rStyle w:val="167"/>
                <w:rFonts w:ascii="宋体" w:hAnsi="宋体" w:cs="宋体"/>
                <w:sz w:val="21"/>
                <w:szCs w:val="21"/>
              </w:rPr>
              <w:t>≥40</w:t>
            </w:r>
            <w:r>
              <w:rPr>
                <w:rStyle w:val="169"/>
                <w:rFonts w:ascii="宋体" w:hAnsi="宋体" w:cs="宋体"/>
                <w:sz w:val="21"/>
                <w:szCs w:val="21"/>
              </w:rPr>
              <w:t>多项参数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0" w:type="dxa"/>
            <w:vMerge w:val="continue"/>
          </w:tcPr>
          <w:p>
            <w:pPr>
              <w:spacing w:line="360" w:lineRule="auto"/>
              <w:rPr>
                <w:rFonts w:asciiTheme="majorEastAsia" w:hAnsiTheme="majorEastAsia" w:eastAsiaTheme="majorEastAsia"/>
                <w:bCs/>
                <w:szCs w:val="21"/>
              </w:rPr>
            </w:pPr>
          </w:p>
        </w:tc>
        <w:tc>
          <w:tcPr>
            <w:tcW w:w="1259" w:type="dxa"/>
            <w:vMerge w:val="continue"/>
          </w:tcPr>
          <w:p>
            <w:pPr>
              <w:spacing w:line="360" w:lineRule="auto"/>
              <w:rPr>
                <w:rFonts w:asciiTheme="majorEastAsia" w:hAnsiTheme="majorEastAsia" w:eastAsiaTheme="majorEastAsia"/>
                <w:bCs/>
                <w:szCs w:val="21"/>
              </w:rPr>
            </w:pPr>
          </w:p>
        </w:tc>
        <w:tc>
          <w:tcPr>
            <w:tcW w:w="7687" w:type="dxa"/>
            <w:vAlign w:val="center"/>
          </w:tcPr>
          <w:p>
            <w:pPr>
              <w:widowControl/>
              <w:spacing w:line="360" w:lineRule="auto"/>
              <w:rPr>
                <w:bCs/>
                <w:szCs w:val="21"/>
              </w:rPr>
            </w:pPr>
            <w:r>
              <w:rPr>
                <w:rFonts w:hint="eastAsia" w:ascii="宋体" w:hAnsi="宋体" w:cs="宋体"/>
                <w:color w:val="000000"/>
                <w:kern w:val="0"/>
                <w:szCs w:val="21"/>
              </w:rPr>
              <w:t xml:space="preserve">2设备性能及要求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0" w:type="dxa"/>
            <w:vMerge w:val="continue"/>
          </w:tcPr>
          <w:p>
            <w:pPr>
              <w:spacing w:line="360" w:lineRule="auto"/>
              <w:rPr>
                <w:rFonts w:asciiTheme="majorEastAsia" w:hAnsiTheme="majorEastAsia" w:eastAsiaTheme="majorEastAsia"/>
                <w:bCs/>
                <w:szCs w:val="21"/>
              </w:rPr>
            </w:pPr>
          </w:p>
        </w:tc>
        <w:tc>
          <w:tcPr>
            <w:tcW w:w="1259" w:type="dxa"/>
            <w:vMerge w:val="continue"/>
          </w:tcPr>
          <w:p>
            <w:pPr>
              <w:spacing w:line="360" w:lineRule="auto"/>
              <w:rPr>
                <w:rFonts w:asciiTheme="majorEastAsia" w:hAnsiTheme="majorEastAsia" w:eastAsiaTheme="majorEastAsia"/>
                <w:bCs/>
                <w:szCs w:val="21"/>
              </w:rPr>
            </w:pPr>
          </w:p>
        </w:tc>
        <w:tc>
          <w:tcPr>
            <w:tcW w:w="7687" w:type="dxa"/>
            <w:vAlign w:val="center"/>
          </w:tcPr>
          <w:p>
            <w:pPr>
              <w:widowControl/>
              <w:spacing w:line="360" w:lineRule="auto"/>
              <w:rPr>
                <w:bCs/>
                <w:szCs w:val="21"/>
              </w:rPr>
            </w:pPr>
            <w:r>
              <w:rPr>
                <w:rFonts w:hint="eastAsia" w:ascii="宋体" w:hAnsi="宋体" w:cs="宋体"/>
                <w:color w:val="000000"/>
                <w:kern w:val="0"/>
                <w:szCs w:val="21"/>
              </w:rPr>
              <w:t>2.1具有外周血管压力波动同步检测技术</w:t>
            </w:r>
            <w:r>
              <w:rPr>
                <w:rFonts w:hint="eastAsia" w:ascii="宋体" w:hAnsi="宋体" w:cs="宋体"/>
                <w:color w:val="000000"/>
                <w:kern w:val="0"/>
                <w:szCs w:val="21"/>
              </w:rPr>
              <w:br w:type="textWrapping"/>
            </w:r>
            <w:r>
              <w:rPr>
                <w:rFonts w:hint="eastAsia" w:ascii="宋体" w:hAnsi="宋体" w:cs="宋体"/>
                <w:color w:val="000000"/>
                <w:kern w:val="0"/>
                <w:szCs w:val="21"/>
              </w:rPr>
              <w:t xml:space="preserve">要求在同一心动周期内采集信号，实时感知双上肢和双下肢压力波动，保证ABI测量精确度高，重复性好。对于紧张、心律不齐、心功能不好的患者也能够准确检测。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0" w:type="dxa"/>
            <w:vMerge w:val="continue"/>
          </w:tcPr>
          <w:p>
            <w:pPr>
              <w:spacing w:line="360" w:lineRule="auto"/>
              <w:rPr>
                <w:rFonts w:asciiTheme="majorEastAsia" w:hAnsiTheme="majorEastAsia" w:eastAsiaTheme="majorEastAsia"/>
                <w:bCs/>
                <w:szCs w:val="21"/>
              </w:rPr>
            </w:pPr>
          </w:p>
        </w:tc>
        <w:tc>
          <w:tcPr>
            <w:tcW w:w="1259" w:type="dxa"/>
            <w:vMerge w:val="continue"/>
          </w:tcPr>
          <w:p>
            <w:pPr>
              <w:spacing w:line="360" w:lineRule="auto"/>
              <w:rPr>
                <w:rFonts w:asciiTheme="majorEastAsia" w:hAnsiTheme="majorEastAsia" w:eastAsiaTheme="majorEastAsia"/>
                <w:bCs/>
                <w:szCs w:val="21"/>
              </w:rPr>
            </w:pPr>
          </w:p>
        </w:tc>
        <w:tc>
          <w:tcPr>
            <w:tcW w:w="7687" w:type="dxa"/>
          </w:tcPr>
          <w:p>
            <w:pPr>
              <w:spacing w:line="276" w:lineRule="auto"/>
              <w:rPr>
                <w:rFonts w:asciiTheme="majorEastAsia" w:hAnsiTheme="majorEastAsia" w:eastAsiaTheme="majorEastAsia"/>
                <w:bCs/>
                <w:szCs w:val="21"/>
              </w:rPr>
            </w:pPr>
            <w:r>
              <w:rPr>
                <w:rFonts w:hint="eastAsia" w:cs="宋体" w:asciiTheme="majorEastAsia" w:hAnsiTheme="majorEastAsia" w:eastAsiaTheme="majorEastAsia"/>
                <w:b/>
                <w:sz w:val="24"/>
              </w:rPr>
              <w:t>▲</w:t>
            </w:r>
            <w:r>
              <w:rPr>
                <w:rFonts w:hint="eastAsia" w:ascii="宋体" w:hAnsi="宋体" w:cs="宋体"/>
                <w:color w:val="000000"/>
                <w:kern w:val="0"/>
                <w:szCs w:val="21"/>
              </w:rPr>
              <w:t>2.2具有双层线性膨胀传感器技术</w:t>
            </w:r>
            <w:r>
              <w:rPr>
                <w:rFonts w:hint="eastAsia" w:ascii="宋体" w:hAnsi="宋体" w:cs="宋体"/>
                <w:color w:val="000000"/>
                <w:kern w:val="0"/>
                <w:szCs w:val="21"/>
              </w:rPr>
              <w:br w:type="textWrapping"/>
            </w:r>
            <w:r>
              <w:rPr>
                <w:rFonts w:hint="eastAsia" w:ascii="宋体" w:hAnsi="宋体" w:cs="宋体"/>
                <w:color w:val="000000"/>
                <w:kern w:val="0"/>
                <w:szCs w:val="21"/>
              </w:rPr>
              <w:t>针对下肢血压检测，交叉捕捉最强的信号来源，保证脚踝部检测值准确性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0" w:type="dxa"/>
            <w:vMerge w:val="continue"/>
          </w:tcPr>
          <w:p>
            <w:pPr>
              <w:spacing w:line="360" w:lineRule="auto"/>
              <w:rPr>
                <w:rFonts w:asciiTheme="majorEastAsia" w:hAnsiTheme="majorEastAsia" w:eastAsiaTheme="majorEastAsia"/>
                <w:bCs/>
                <w:szCs w:val="21"/>
              </w:rPr>
            </w:pPr>
          </w:p>
        </w:tc>
        <w:tc>
          <w:tcPr>
            <w:tcW w:w="1259" w:type="dxa"/>
            <w:vMerge w:val="continue"/>
          </w:tcPr>
          <w:p>
            <w:pPr>
              <w:spacing w:line="360" w:lineRule="auto"/>
              <w:rPr>
                <w:rFonts w:asciiTheme="majorEastAsia" w:hAnsiTheme="majorEastAsia" w:eastAsiaTheme="majorEastAsia"/>
                <w:bCs/>
                <w:szCs w:val="21"/>
              </w:rPr>
            </w:pPr>
          </w:p>
        </w:tc>
        <w:tc>
          <w:tcPr>
            <w:tcW w:w="7687" w:type="dxa"/>
            <w:vAlign w:val="center"/>
          </w:tcPr>
          <w:p>
            <w:pPr>
              <w:widowControl/>
              <w:spacing w:line="360" w:lineRule="auto"/>
              <w:rPr>
                <w:bCs/>
                <w:szCs w:val="21"/>
              </w:rPr>
            </w:pPr>
            <w:r>
              <w:rPr>
                <w:rFonts w:hint="eastAsia" w:ascii="宋体" w:hAnsi="宋体" w:cs="宋体"/>
                <w:color w:val="000000"/>
                <w:kern w:val="0"/>
                <w:szCs w:val="21"/>
              </w:rPr>
              <w:t xml:space="preserve">2.3具有滤波功能                                                  </w:t>
            </w:r>
            <w:r>
              <w:rPr>
                <w:rFonts w:hint="eastAsia" w:ascii="宋体" w:hAnsi="宋体" w:cs="宋体"/>
                <w:color w:val="000000"/>
                <w:kern w:val="0"/>
                <w:szCs w:val="21"/>
              </w:rPr>
              <w:br w:type="textWrapping"/>
            </w:r>
            <w:r>
              <w:rPr>
                <w:rFonts w:hint="eastAsia" w:ascii="宋体" w:hAnsi="宋体" w:cs="宋体"/>
                <w:color w:val="000000"/>
                <w:kern w:val="0"/>
                <w:szCs w:val="21"/>
              </w:rPr>
              <w:t xml:space="preserve">可通过设定多个脉搏波起始条件，将噪音波自动滤掉，以保证结果准确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0" w:type="dxa"/>
            <w:vMerge w:val="continue"/>
          </w:tcPr>
          <w:p>
            <w:pPr>
              <w:spacing w:line="360" w:lineRule="auto"/>
              <w:rPr>
                <w:rFonts w:asciiTheme="majorEastAsia" w:hAnsiTheme="majorEastAsia" w:eastAsiaTheme="majorEastAsia"/>
                <w:bCs/>
                <w:szCs w:val="21"/>
              </w:rPr>
            </w:pPr>
          </w:p>
        </w:tc>
        <w:tc>
          <w:tcPr>
            <w:tcW w:w="1259" w:type="dxa"/>
            <w:vMerge w:val="continue"/>
          </w:tcPr>
          <w:p>
            <w:pPr>
              <w:spacing w:line="360" w:lineRule="auto"/>
              <w:rPr>
                <w:rFonts w:asciiTheme="majorEastAsia" w:hAnsiTheme="majorEastAsia" w:eastAsiaTheme="majorEastAsia"/>
                <w:bCs/>
                <w:szCs w:val="21"/>
              </w:rPr>
            </w:pPr>
          </w:p>
        </w:tc>
        <w:tc>
          <w:tcPr>
            <w:tcW w:w="7687" w:type="dxa"/>
            <w:vAlign w:val="center"/>
          </w:tcPr>
          <w:p>
            <w:pPr>
              <w:widowControl/>
              <w:spacing w:line="360" w:lineRule="auto"/>
              <w:rPr>
                <w:bCs/>
                <w:szCs w:val="21"/>
              </w:rPr>
            </w:pPr>
            <w:r>
              <w:rPr>
                <w:rFonts w:hint="eastAsia" w:cs="宋体" w:asciiTheme="majorEastAsia" w:hAnsiTheme="majorEastAsia" w:eastAsiaTheme="majorEastAsia"/>
                <w:b/>
                <w:sz w:val="24"/>
              </w:rPr>
              <w:t>▲</w:t>
            </w:r>
            <w:r>
              <w:rPr>
                <w:rFonts w:hint="eastAsia" w:ascii="宋体" w:hAnsi="宋体" w:cs="宋体"/>
                <w:color w:val="000000"/>
                <w:kern w:val="0"/>
                <w:szCs w:val="21"/>
              </w:rPr>
              <w:t xml:space="preserve">2.4心脏起搏器模式                                            </w:t>
            </w:r>
            <w:r>
              <w:rPr>
                <w:rFonts w:hint="eastAsia" w:ascii="宋体" w:hAnsi="宋体" w:cs="宋体"/>
                <w:color w:val="000000"/>
                <w:kern w:val="0"/>
                <w:szCs w:val="21"/>
              </w:rPr>
              <w:br w:type="textWrapping"/>
            </w:r>
            <w:r>
              <w:rPr>
                <w:rFonts w:hint="eastAsia" w:ascii="宋体" w:hAnsi="宋体" w:cs="宋体"/>
                <w:color w:val="000000"/>
                <w:kern w:val="0"/>
                <w:szCs w:val="21"/>
              </w:rPr>
              <w:t xml:space="preserve">保证植入心脏起搏器的患者也能准确进行该项检测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0" w:type="dxa"/>
            <w:vMerge w:val="continue"/>
          </w:tcPr>
          <w:p>
            <w:pPr>
              <w:spacing w:line="360" w:lineRule="auto"/>
              <w:rPr>
                <w:rFonts w:asciiTheme="majorEastAsia" w:hAnsiTheme="majorEastAsia" w:eastAsiaTheme="majorEastAsia"/>
                <w:bCs/>
                <w:szCs w:val="21"/>
              </w:rPr>
            </w:pPr>
          </w:p>
        </w:tc>
        <w:tc>
          <w:tcPr>
            <w:tcW w:w="1259" w:type="dxa"/>
            <w:vMerge w:val="continue"/>
          </w:tcPr>
          <w:p>
            <w:pPr>
              <w:spacing w:line="360" w:lineRule="auto"/>
              <w:rPr>
                <w:rFonts w:asciiTheme="majorEastAsia" w:hAnsiTheme="majorEastAsia" w:eastAsiaTheme="majorEastAsia"/>
                <w:bCs/>
                <w:szCs w:val="21"/>
              </w:rPr>
            </w:pPr>
          </w:p>
        </w:tc>
        <w:tc>
          <w:tcPr>
            <w:tcW w:w="7687" w:type="dxa"/>
            <w:vAlign w:val="center"/>
          </w:tcPr>
          <w:p>
            <w:pPr>
              <w:widowControl/>
              <w:spacing w:line="360" w:lineRule="auto"/>
              <w:rPr>
                <w:bCs/>
                <w:szCs w:val="21"/>
              </w:rPr>
            </w:pPr>
            <w:r>
              <w:rPr>
                <w:rFonts w:hint="eastAsia" w:ascii="宋体" w:hAnsi="宋体" w:cs="宋体"/>
                <w:color w:val="000000"/>
                <w:kern w:val="0"/>
                <w:szCs w:val="21"/>
              </w:rPr>
              <w:t>2.5除检测动脉硬化外，可自动评估心脑血管危险度，代谢综合征发病风险，指导医生制定综合治疗方案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0" w:type="dxa"/>
            <w:vMerge w:val="continue"/>
          </w:tcPr>
          <w:p>
            <w:pPr>
              <w:spacing w:line="360" w:lineRule="auto"/>
              <w:rPr>
                <w:rFonts w:asciiTheme="majorEastAsia" w:hAnsiTheme="majorEastAsia" w:eastAsiaTheme="majorEastAsia"/>
                <w:bCs/>
                <w:szCs w:val="21"/>
              </w:rPr>
            </w:pPr>
          </w:p>
        </w:tc>
        <w:tc>
          <w:tcPr>
            <w:tcW w:w="1259" w:type="dxa"/>
            <w:vMerge w:val="continue"/>
          </w:tcPr>
          <w:p>
            <w:pPr>
              <w:spacing w:line="360" w:lineRule="auto"/>
              <w:rPr>
                <w:rFonts w:asciiTheme="majorEastAsia" w:hAnsiTheme="majorEastAsia" w:eastAsiaTheme="majorEastAsia"/>
                <w:bCs/>
                <w:szCs w:val="21"/>
              </w:rPr>
            </w:pPr>
          </w:p>
        </w:tc>
        <w:tc>
          <w:tcPr>
            <w:tcW w:w="7687" w:type="dxa"/>
            <w:vAlign w:val="center"/>
          </w:tcPr>
          <w:p>
            <w:pPr>
              <w:widowControl/>
              <w:spacing w:line="360" w:lineRule="auto"/>
              <w:rPr>
                <w:bCs/>
                <w:szCs w:val="21"/>
              </w:rPr>
            </w:pPr>
            <w:r>
              <w:rPr>
                <w:rStyle w:val="169"/>
                <w:rFonts w:ascii="宋体" w:hAnsi="宋体" w:cs="宋体"/>
                <w:sz w:val="21"/>
                <w:szCs w:val="21"/>
              </w:rPr>
              <w:t>2.6可</w:t>
            </w:r>
            <w:r>
              <w:rPr>
                <w:rStyle w:val="167"/>
                <w:rFonts w:ascii="宋体" w:hAnsi="宋体" w:cs="宋体"/>
                <w:sz w:val="21"/>
                <w:szCs w:val="21"/>
              </w:rPr>
              <w:t>通过</w:t>
            </w:r>
            <w:r>
              <w:rPr>
                <w:rStyle w:val="169"/>
                <w:rFonts w:ascii="宋体" w:hAnsi="宋体" w:cs="宋体"/>
                <w:sz w:val="21"/>
                <w:szCs w:val="21"/>
              </w:rPr>
              <w:t xml:space="preserve">网络直接读取数据，进行编辑和统计                      </w:t>
            </w:r>
            <w:r>
              <w:rPr>
                <w:rStyle w:val="169"/>
                <w:rFonts w:ascii="宋体" w:hAnsi="宋体" w:cs="宋体"/>
                <w:sz w:val="21"/>
                <w:szCs w:val="21"/>
              </w:rPr>
              <w:br w:type="textWrapping"/>
            </w:r>
            <w:r>
              <w:rPr>
                <w:rStyle w:val="169"/>
                <w:rFonts w:ascii="宋体" w:hAnsi="宋体" w:cs="宋体"/>
                <w:sz w:val="21"/>
                <w:szCs w:val="21"/>
              </w:rPr>
              <w:t xml:space="preserve">需要连入医院内数据库，电子病历联网和病理检查系统等，实现多台动脉硬化检测数据的整合，传输及统计，方便远程处理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0" w:type="dxa"/>
            <w:vMerge w:val="continue"/>
          </w:tcPr>
          <w:p>
            <w:pPr>
              <w:spacing w:line="360" w:lineRule="auto"/>
              <w:rPr>
                <w:rFonts w:asciiTheme="majorEastAsia" w:hAnsiTheme="majorEastAsia" w:eastAsiaTheme="majorEastAsia"/>
                <w:bCs/>
                <w:szCs w:val="21"/>
              </w:rPr>
            </w:pPr>
          </w:p>
        </w:tc>
        <w:tc>
          <w:tcPr>
            <w:tcW w:w="1259" w:type="dxa"/>
            <w:vMerge w:val="continue"/>
          </w:tcPr>
          <w:p>
            <w:pPr>
              <w:spacing w:line="360" w:lineRule="auto"/>
              <w:rPr>
                <w:rFonts w:asciiTheme="majorEastAsia" w:hAnsiTheme="majorEastAsia" w:eastAsiaTheme="majorEastAsia"/>
                <w:bCs/>
                <w:szCs w:val="21"/>
              </w:rPr>
            </w:pPr>
          </w:p>
        </w:tc>
        <w:tc>
          <w:tcPr>
            <w:tcW w:w="7687" w:type="dxa"/>
            <w:vAlign w:val="center"/>
          </w:tcPr>
          <w:p>
            <w:pPr>
              <w:widowControl/>
              <w:spacing w:line="360" w:lineRule="auto"/>
              <w:rPr>
                <w:bCs/>
                <w:szCs w:val="21"/>
              </w:rPr>
            </w:pPr>
            <w:r>
              <w:rPr>
                <w:rFonts w:hint="eastAsia" w:ascii="宋体" w:hAnsi="宋体" w:cs="宋体"/>
                <w:color w:val="000000"/>
                <w:kern w:val="0"/>
                <w:szCs w:val="21"/>
              </w:rPr>
              <w:t xml:space="preserve">2.7数据检索                                                      </w:t>
            </w:r>
            <w:r>
              <w:rPr>
                <w:rFonts w:hint="eastAsia" w:ascii="宋体" w:hAnsi="宋体" w:cs="宋体"/>
                <w:color w:val="000000"/>
                <w:kern w:val="0"/>
                <w:szCs w:val="21"/>
              </w:rPr>
              <w:br w:type="textWrapping"/>
            </w:r>
            <w:r>
              <w:rPr>
                <w:rFonts w:hint="eastAsia" w:ascii="宋体" w:hAnsi="宋体" w:cs="宋体"/>
                <w:color w:val="000000"/>
                <w:kern w:val="0"/>
                <w:szCs w:val="21"/>
              </w:rPr>
              <w:t>可通过输入简单的ID信息实现数据检索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0" w:type="dxa"/>
            <w:vMerge w:val="continue"/>
          </w:tcPr>
          <w:p>
            <w:pPr>
              <w:spacing w:line="360" w:lineRule="auto"/>
              <w:rPr>
                <w:rFonts w:asciiTheme="majorEastAsia" w:hAnsiTheme="majorEastAsia" w:eastAsiaTheme="majorEastAsia"/>
                <w:bCs/>
                <w:szCs w:val="21"/>
              </w:rPr>
            </w:pPr>
          </w:p>
        </w:tc>
        <w:tc>
          <w:tcPr>
            <w:tcW w:w="1259" w:type="dxa"/>
            <w:vMerge w:val="continue"/>
          </w:tcPr>
          <w:p>
            <w:pPr>
              <w:spacing w:line="360" w:lineRule="auto"/>
              <w:rPr>
                <w:rFonts w:asciiTheme="majorEastAsia" w:hAnsiTheme="majorEastAsia" w:eastAsiaTheme="majorEastAsia"/>
                <w:bCs/>
                <w:szCs w:val="21"/>
              </w:rPr>
            </w:pPr>
          </w:p>
        </w:tc>
        <w:tc>
          <w:tcPr>
            <w:tcW w:w="7687" w:type="dxa"/>
            <w:vAlign w:val="center"/>
          </w:tcPr>
          <w:p>
            <w:pPr>
              <w:widowControl/>
              <w:spacing w:line="360" w:lineRule="auto"/>
              <w:rPr>
                <w:bCs/>
                <w:szCs w:val="21"/>
              </w:rPr>
            </w:pPr>
            <w:r>
              <w:rPr>
                <w:rFonts w:hint="eastAsia" w:ascii="宋体" w:hAnsi="宋体" w:cs="宋体"/>
                <w:color w:val="000000"/>
                <w:kern w:val="0"/>
                <w:szCs w:val="21"/>
              </w:rPr>
              <w:t xml:space="preserve">2.8报告格式                                                      </w:t>
            </w:r>
            <w:r>
              <w:rPr>
                <w:rFonts w:hint="eastAsia" w:ascii="宋体" w:hAnsi="宋体" w:cs="宋体"/>
                <w:color w:val="000000"/>
                <w:kern w:val="0"/>
                <w:szCs w:val="21"/>
              </w:rPr>
              <w:br w:type="textWrapping"/>
            </w:r>
            <w:r>
              <w:rPr>
                <w:rFonts w:hint="eastAsia" w:ascii="宋体" w:hAnsi="宋体" w:cs="宋体"/>
                <w:color w:val="000000"/>
                <w:kern w:val="0"/>
                <w:szCs w:val="21"/>
              </w:rPr>
              <w:t>多种人性化检测报告，可根据具体情况随时选择适合医生/病人的不同用途的报告格式，以提高患者治疗适应性。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0" w:type="dxa"/>
            <w:vMerge w:val="continue"/>
          </w:tcPr>
          <w:p>
            <w:pPr>
              <w:spacing w:line="360" w:lineRule="auto"/>
              <w:rPr>
                <w:rFonts w:asciiTheme="majorEastAsia" w:hAnsiTheme="majorEastAsia" w:eastAsiaTheme="majorEastAsia"/>
                <w:bCs/>
                <w:szCs w:val="21"/>
              </w:rPr>
            </w:pPr>
          </w:p>
        </w:tc>
        <w:tc>
          <w:tcPr>
            <w:tcW w:w="1259" w:type="dxa"/>
            <w:vMerge w:val="continue"/>
          </w:tcPr>
          <w:p>
            <w:pPr>
              <w:spacing w:line="360" w:lineRule="auto"/>
              <w:rPr>
                <w:rFonts w:asciiTheme="majorEastAsia" w:hAnsiTheme="majorEastAsia" w:eastAsiaTheme="majorEastAsia"/>
                <w:bCs/>
                <w:szCs w:val="21"/>
              </w:rPr>
            </w:pPr>
          </w:p>
        </w:tc>
        <w:tc>
          <w:tcPr>
            <w:tcW w:w="7687" w:type="dxa"/>
            <w:vAlign w:val="center"/>
          </w:tcPr>
          <w:p>
            <w:pPr>
              <w:widowControl/>
              <w:spacing w:line="360" w:lineRule="auto"/>
              <w:rPr>
                <w:rFonts w:asciiTheme="majorEastAsia" w:hAnsiTheme="majorEastAsia" w:eastAsiaTheme="majorEastAsia"/>
                <w:bCs/>
                <w:szCs w:val="21"/>
              </w:rPr>
            </w:pPr>
            <w:r>
              <w:rPr>
                <w:rStyle w:val="169"/>
                <w:rFonts w:ascii="宋体" w:hAnsi="宋体" w:cs="宋体"/>
                <w:sz w:val="21"/>
                <w:szCs w:val="21"/>
              </w:rPr>
              <w:t xml:space="preserve">2.9 </w:t>
            </w:r>
            <w:r>
              <w:rPr>
                <w:rStyle w:val="167"/>
                <w:rFonts w:ascii="宋体" w:hAnsi="宋体" w:cs="宋体"/>
                <w:sz w:val="21"/>
                <w:szCs w:val="21"/>
              </w:rPr>
              <w:t>具有软件系统、对接体检软件及工作台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0" w:type="dxa"/>
            <w:vMerge w:val="continue"/>
          </w:tcPr>
          <w:p>
            <w:pPr>
              <w:spacing w:line="360" w:lineRule="auto"/>
              <w:rPr>
                <w:rFonts w:asciiTheme="majorEastAsia" w:hAnsiTheme="majorEastAsia" w:eastAsiaTheme="majorEastAsia"/>
                <w:bCs/>
                <w:szCs w:val="21"/>
              </w:rPr>
            </w:pPr>
          </w:p>
        </w:tc>
        <w:tc>
          <w:tcPr>
            <w:tcW w:w="1259" w:type="dxa"/>
            <w:vMerge w:val="continue"/>
          </w:tcPr>
          <w:p>
            <w:pPr>
              <w:spacing w:line="360" w:lineRule="auto"/>
              <w:rPr>
                <w:rFonts w:asciiTheme="majorEastAsia" w:hAnsiTheme="majorEastAsia" w:eastAsiaTheme="majorEastAsia"/>
                <w:bCs/>
                <w:szCs w:val="21"/>
              </w:rPr>
            </w:pPr>
          </w:p>
        </w:tc>
        <w:tc>
          <w:tcPr>
            <w:tcW w:w="7687" w:type="dxa"/>
            <w:vAlign w:val="center"/>
          </w:tcPr>
          <w:p>
            <w:pPr>
              <w:widowControl/>
              <w:spacing w:line="360" w:lineRule="auto"/>
              <w:rPr>
                <w:rFonts w:asciiTheme="majorEastAsia" w:hAnsiTheme="majorEastAsia" w:eastAsiaTheme="majorEastAsia"/>
                <w:bCs/>
                <w:szCs w:val="21"/>
              </w:rPr>
            </w:pPr>
            <w:r>
              <w:rPr>
                <w:rFonts w:hint="eastAsia" w:ascii="宋体" w:hAnsi="宋体" w:cs="宋体"/>
                <w:color w:val="000000"/>
                <w:kern w:val="0"/>
                <w:szCs w:val="21"/>
              </w:rPr>
              <w:t>2.10图形及画面显示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0" w:type="dxa"/>
            <w:vMerge w:val="continue"/>
          </w:tcPr>
          <w:p>
            <w:pPr>
              <w:spacing w:line="360" w:lineRule="auto"/>
              <w:rPr>
                <w:rFonts w:asciiTheme="majorEastAsia" w:hAnsiTheme="majorEastAsia" w:eastAsiaTheme="majorEastAsia"/>
                <w:bCs/>
                <w:szCs w:val="21"/>
              </w:rPr>
            </w:pPr>
          </w:p>
        </w:tc>
        <w:tc>
          <w:tcPr>
            <w:tcW w:w="1259" w:type="dxa"/>
            <w:vMerge w:val="continue"/>
          </w:tcPr>
          <w:p>
            <w:pPr>
              <w:spacing w:line="360" w:lineRule="auto"/>
              <w:rPr>
                <w:rFonts w:asciiTheme="majorEastAsia" w:hAnsiTheme="majorEastAsia" w:eastAsiaTheme="majorEastAsia"/>
                <w:bCs/>
                <w:szCs w:val="21"/>
              </w:rPr>
            </w:pPr>
          </w:p>
        </w:tc>
        <w:tc>
          <w:tcPr>
            <w:tcW w:w="7687" w:type="dxa"/>
            <w:vAlign w:val="center"/>
          </w:tcPr>
          <w:p>
            <w:pPr>
              <w:widowControl/>
              <w:spacing w:line="360" w:lineRule="auto"/>
              <w:rPr>
                <w:rFonts w:asciiTheme="majorEastAsia" w:hAnsiTheme="majorEastAsia" w:eastAsiaTheme="majorEastAsia"/>
                <w:bCs/>
                <w:szCs w:val="21"/>
              </w:rPr>
            </w:pPr>
            <w:r>
              <w:rPr>
                <w:rFonts w:hint="eastAsia" w:ascii="宋体" w:hAnsi="宋体" w:cs="宋体"/>
                <w:color w:val="000000"/>
                <w:kern w:val="0"/>
                <w:szCs w:val="21"/>
              </w:rPr>
              <w:t>2.10.1可显示心电图和心音图及四肢脉搏波波形图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0" w:type="dxa"/>
            <w:vMerge w:val="continue"/>
          </w:tcPr>
          <w:p>
            <w:pPr>
              <w:spacing w:line="360" w:lineRule="auto"/>
              <w:rPr>
                <w:rFonts w:asciiTheme="majorEastAsia" w:hAnsiTheme="majorEastAsia" w:eastAsiaTheme="majorEastAsia"/>
                <w:bCs/>
                <w:szCs w:val="21"/>
              </w:rPr>
            </w:pPr>
          </w:p>
        </w:tc>
        <w:tc>
          <w:tcPr>
            <w:tcW w:w="1259" w:type="dxa"/>
            <w:vMerge w:val="continue"/>
          </w:tcPr>
          <w:p>
            <w:pPr>
              <w:spacing w:line="360" w:lineRule="auto"/>
              <w:rPr>
                <w:rFonts w:asciiTheme="majorEastAsia" w:hAnsiTheme="majorEastAsia" w:eastAsiaTheme="majorEastAsia"/>
                <w:bCs/>
                <w:szCs w:val="21"/>
              </w:rPr>
            </w:pPr>
          </w:p>
        </w:tc>
        <w:tc>
          <w:tcPr>
            <w:tcW w:w="7687" w:type="dxa"/>
            <w:vAlign w:val="center"/>
          </w:tcPr>
          <w:p>
            <w:pPr>
              <w:widowControl/>
              <w:spacing w:line="360" w:lineRule="auto"/>
              <w:rPr>
                <w:rFonts w:asciiTheme="majorEastAsia" w:hAnsiTheme="majorEastAsia" w:eastAsiaTheme="majorEastAsia"/>
                <w:bCs/>
                <w:szCs w:val="21"/>
              </w:rPr>
            </w:pPr>
            <w:r>
              <w:rPr>
                <w:rFonts w:hint="eastAsia" w:ascii="宋体" w:hAnsi="宋体" w:cs="宋体"/>
                <w:color w:val="000000"/>
                <w:kern w:val="0"/>
                <w:szCs w:val="21"/>
              </w:rPr>
              <w:t>2.10.2可显示不同年龄、性别的PWV标准曲线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0" w:type="dxa"/>
            <w:vMerge w:val="continue"/>
          </w:tcPr>
          <w:p>
            <w:pPr>
              <w:spacing w:line="360" w:lineRule="auto"/>
              <w:rPr>
                <w:rFonts w:asciiTheme="majorEastAsia" w:hAnsiTheme="majorEastAsia" w:eastAsiaTheme="majorEastAsia"/>
                <w:bCs/>
                <w:szCs w:val="21"/>
              </w:rPr>
            </w:pPr>
          </w:p>
        </w:tc>
        <w:tc>
          <w:tcPr>
            <w:tcW w:w="1259" w:type="dxa"/>
            <w:vMerge w:val="continue"/>
          </w:tcPr>
          <w:p>
            <w:pPr>
              <w:spacing w:line="360" w:lineRule="auto"/>
              <w:rPr>
                <w:rFonts w:asciiTheme="majorEastAsia" w:hAnsiTheme="majorEastAsia" w:eastAsiaTheme="majorEastAsia"/>
                <w:bCs/>
                <w:szCs w:val="21"/>
              </w:rPr>
            </w:pPr>
          </w:p>
        </w:tc>
        <w:tc>
          <w:tcPr>
            <w:tcW w:w="7687" w:type="dxa"/>
            <w:vAlign w:val="center"/>
          </w:tcPr>
          <w:p>
            <w:pPr>
              <w:widowControl/>
              <w:spacing w:line="360" w:lineRule="auto"/>
              <w:rPr>
                <w:rFonts w:asciiTheme="majorEastAsia" w:hAnsiTheme="majorEastAsia" w:eastAsiaTheme="majorEastAsia"/>
                <w:bCs/>
                <w:szCs w:val="21"/>
              </w:rPr>
            </w:pPr>
            <w:r>
              <w:rPr>
                <w:rStyle w:val="169"/>
                <w:rFonts w:ascii="宋体" w:hAnsi="宋体" w:cs="宋体"/>
                <w:sz w:val="21"/>
                <w:szCs w:val="21"/>
              </w:rPr>
              <w:t xml:space="preserve">2.10.3 </w:t>
            </w:r>
            <w:r>
              <w:rPr>
                <w:rStyle w:val="167"/>
                <w:rFonts w:ascii="宋体" w:hAnsi="宋体" w:cs="宋体"/>
                <w:sz w:val="21"/>
                <w:szCs w:val="21"/>
              </w:rPr>
              <w:t>≥8.4英寸</w:t>
            </w:r>
            <w:r>
              <w:rPr>
                <w:rStyle w:val="169"/>
                <w:rFonts w:ascii="宋体" w:hAnsi="宋体" w:cs="宋体"/>
                <w:sz w:val="21"/>
                <w:szCs w:val="21"/>
              </w:rPr>
              <w:t xml:space="preserve">中文彩色触摸液晶显示屏 </w:t>
            </w:r>
          </w:p>
        </w:tc>
      </w:tr>
    </w:tbl>
    <w:p>
      <w:pPr>
        <w:spacing w:line="360" w:lineRule="auto"/>
        <w:rPr>
          <w:rFonts w:ascii="宋体" w:hAnsi="宋体"/>
          <w:b/>
          <w:bCs/>
          <w:snapToGrid w:val="0"/>
          <w:kern w:val="0"/>
          <w:sz w:val="24"/>
        </w:rPr>
      </w:pPr>
    </w:p>
    <w:p>
      <w:pPr>
        <w:rPr>
          <w:highlight w:val="yellow"/>
        </w:rPr>
      </w:pPr>
      <w:r>
        <w:rPr>
          <w:rFonts w:hint="eastAsia"/>
          <w:b/>
          <w:bCs/>
          <w:sz w:val="24"/>
          <w:highlight w:val="yellow"/>
        </w:rPr>
        <w:t>★三、商务要求</w:t>
      </w:r>
    </w:p>
    <w:p>
      <w:pPr>
        <w:spacing w:line="360" w:lineRule="auto"/>
        <w:ind w:firstLine="482" w:firstLineChars="200"/>
        <w:rPr>
          <w:rFonts w:asciiTheme="minorEastAsia" w:hAnsiTheme="minorEastAsia" w:eastAsiaTheme="minorEastAsia"/>
          <w:b/>
          <w:bCs/>
          <w:szCs w:val="21"/>
          <w:highlight w:val="yellow"/>
        </w:rPr>
      </w:pPr>
      <w:r>
        <w:rPr>
          <w:rFonts w:hint="eastAsia"/>
          <w:b/>
          <w:bCs/>
          <w:sz w:val="24"/>
          <w:highlight w:val="yellow"/>
        </w:rPr>
        <w:t>★</w:t>
      </w:r>
      <w:r>
        <w:rPr>
          <w:rFonts w:hint="eastAsia" w:asciiTheme="minorEastAsia" w:hAnsiTheme="minorEastAsia" w:eastAsiaTheme="minorEastAsia"/>
          <w:b/>
          <w:bCs/>
          <w:szCs w:val="21"/>
          <w:highlight w:val="yellow"/>
        </w:rPr>
        <w:t>1、交货期:合同签订并接采购人通知后</w:t>
      </w:r>
      <w:r>
        <w:rPr>
          <w:rFonts w:hint="eastAsia" w:asciiTheme="minorEastAsia" w:hAnsiTheme="minorEastAsia" w:eastAsiaTheme="minorEastAsia"/>
          <w:b/>
          <w:bCs/>
          <w:szCs w:val="21"/>
          <w:highlight w:val="yellow"/>
          <w:u w:val="single"/>
        </w:rPr>
        <w:t>30</w:t>
      </w:r>
      <w:r>
        <w:rPr>
          <w:rFonts w:hint="eastAsia" w:asciiTheme="minorEastAsia" w:hAnsiTheme="minorEastAsia" w:eastAsiaTheme="minorEastAsia"/>
          <w:b/>
          <w:bCs/>
          <w:szCs w:val="21"/>
          <w:highlight w:val="yellow"/>
        </w:rPr>
        <w:t>日历日内。</w:t>
      </w:r>
    </w:p>
    <w:p>
      <w:pPr>
        <w:spacing w:line="360" w:lineRule="auto"/>
        <w:ind w:firstLine="482" w:firstLineChars="200"/>
        <w:rPr>
          <w:rFonts w:asciiTheme="minorEastAsia" w:hAnsiTheme="minorEastAsia" w:eastAsiaTheme="minorEastAsia"/>
          <w:b/>
          <w:bCs/>
          <w:szCs w:val="21"/>
          <w:highlight w:val="yellow"/>
        </w:rPr>
      </w:pPr>
      <w:r>
        <w:rPr>
          <w:rFonts w:hint="eastAsia"/>
          <w:b/>
          <w:bCs/>
          <w:sz w:val="24"/>
          <w:highlight w:val="yellow"/>
        </w:rPr>
        <w:t>★</w:t>
      </w:r>
      <w:r>
        <w:rPr>
          <w:rFonts w:hint="eastAsia" w:asciiTheme="minorEastAsia" w:hAnsiTheme="minorEastAsia" w:eastAsiaTheme="minorEastAsia"/>
          <w:b/>
          <w:bCs/>
          <w:szCs w:val="21"/>
          <w:highlight w:val="yellow"/>
        </w:rPr>
        <w:t>2、交货地点：采购人指定地点。</w:t>
      </w:r>
    </w:p>
    <w:p>
      <w:pPr>
        <w:spacing w:line="360" w:lineRule="auto"/>
        <w:ind w:firstLine="482" w:firstLineChars="200"/>
        <w:rPr>
          <w:rFonts w:asciiTheme="minorEastAsia" w:hAnsiTheme="minorEastAsia" w:eastAsiaTheme="minorEastAsia"/>
          <w:b/>
          <w:bCs/>
          <w:szCs w:val="21"/>
          <w:highlight w:val="yellow"/>
        </w:rPr>
      </w:pPr>
      <w:r>
        <w:rPr>
          <w:rFonts w:hint="eastAsia"/>
          <w:b/>
          <w:bCs/>
          <w:sz w:val="24"/>
          <w:highlight w:val="yellow"/>
        </w:rPr>
        <w:t>★</w:t>
      </w:r>
      <w:r>
        <w:rPr>
          <w:rFonts w:hint="eastAsia" w:asciiTheme="minorEastAsia" w:hAnsiTheme="minorEastAsia" w:eastAsiaTheme="minorEastAsia"/>
          <w:b/>
          <w:bCs/>
          <w:szCs w:val="21"/>
          <w:highlight w:val="yellow"/>
        </w:rPr>
        <w:t>3、投标报价要求：</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投标总价必须是完成该项目的一切费用总和，包括设备费、运输费、装卸费、保险费、技术培训费、设备安装费、调试费、售后服务费、国家规定的各项税费等全部费用。</w:t>
      </w:r>
    </w:p>
    <w:p>
      <w:pPr>
        <w:spacing w:line="360" w:lineRule="auto"/>
        <w:ind w:firstLine="482" w:firstLineChars="200"/>
        <w:rPr>
          <w:rFonts w:asciiTheme="minorEastAsia" w:hAnsiTheme="minorEastAsia" w:eastAsiaTheme="minorEastAsia"/>
          <w:b/>
          <w:bCs/>
          <w:szCs w:val="21"/>
          <w:highlight w:val="yellow"/>
        </w:rPr>
      </w:pPr>
      <w:r>
        <w:rPr>
          <w:rFonts w:hint="eastAsia"/>
          <w:b/>
          <w:bCs/>
          <w:sz w:val="24"/>
          <w:highlight w:val="yellow"/>
        </w:rPr>
        <w:t>★</w:t>
      </w:r>
      <w:r>
        <w:rPr>
          <w:rFonts w:hint="eastAsia" w:asciiTheme="minorEastAsia" w:hAnsiTheme="minorEastAsia" w:eastAsiaTheme="minorEastAsia"/>
          <w:b/>
          <w:bCs/>
          <w:szCs w:val="21"/>
          <w:highlight w:val="yellow"/>
        </w:rPr>
        <w:t>4、付款方式：</w:t>
      </w:r>
    </w:p>
    <w:p>
      <w:pPr>
        <w:spacing w:line="360" w:lineRule="auto"/>
        <w:ind w:firstLine="422" w:firstLineChars="200"/>
        <w:jc w:val="left"/>
        <w:rPr>
          <w:rFonts w:ascii="宋体" w:hAnsi="宋体"/>
          <w:b/>
          <w:bCs/>
          <w:szCs w:val="21"/>
          <w:highlight w:val="yellow"/>
        </w:rPr>
      </w:pPr>
      <w:r>
        <w:rPr>
          <w:rFonts w:hint="eastAsia" w:ascii="宋体" w:hAnsi="宋体"/>
          <w:b/>
          <w:bCs/>
          <w:szCs w:val="21"/>
          <w:highlight w:val="yellow"/>
        </w:rPr>
        <w:t>财政资金设备付款方式 ：</w:t>
      </w:r>
    </w:p>
    <w:p>
      <w:pPr>
        <w:widowControl/>
        <w:spacing w:line="540" w:lineRule="exact"/>
        <w:ind w:firstLine="422" w:firstLineChars="200"/>
        <w:jc w:val="left"/>
        <w:rPr>
          <w:rFonts w:ascii="宋体" w:hAnsi="宋体" w:cs="宋体"/>
          <w:b/>
          <w:bCs/>
          <w:kern w:val="0"/>
          <w:szCs w:val="21"/>
          <w:highlight w:val="yellow"/>
        </w:rPr>
      </w:pPr>
      <w:r>
        <w:rPr>
          <w:rFonts w:hint="eastAsia" w:ascii="宋体" w:hAnsi="宋体"/>
          <w:b/>
          <w:bCs/>
          <w:szCs w:val="21"/>
          <w:highlight w:val="yellow"/>
        </w:rPr>
        <w:t>货到清点、安装调试验收合格正常使用后出具全额发票，同时将合同总价5%的履约保证金汇入采购人指定账户，采购人凭中标人提供的完整资料向福田区相关部门申请支付100%合同货款到中标人指定账户。</w:t>
      </w:r>
    </w:p>
    <w:p>
      <w:pPr>
        <w:widowControl/>
        <w:spacing w:line="540" w:lineRule="exact"/>
        <w:ind w:firstLine="422" w:firstLineChars="200"/>
        <w:jc w:val="left"/>
        <w:rPr>
          <w:rFonts w:ascii="宋体" w:hAnsi="宋体"/>
          <w:b/>
          <w:bCs/>
          <w:color w:val="FF0000"/>
          <w:szCs w:val="21"/>
          <w:highlight w:val="yellow"/>
        </w:rPr>
      </w:pPr>
      <w:r>
        <w:rPr>
          <w:rFonts w:hint="eastAsia" w:ascii="宋体" w:hAnsi="宋体"/>
          <w:b/>
          <w:bCs/>
          <w:szCs w:val="21"/>
          <w:highlight w:val="yellow"/>
        </w:rPr>
        <w:t>中标人向采购人支付合同总价5%的履约保证金，用于补偿采购人因中标人提供的设备质量问题或不履行保修责任事项而蒙受的损失，如中标人提供的设备质量出现问题或中标人不履行/不妥善履行保修责任事项的，采购人有权直接从履约保证金中扣除相应违约金/损失赔偿款项。如果在免费保修期内未发生设备质量问题或未发生中标人不履行或不当履行保修责任事项的情况，</w:t>
      </w:r>
      <w:r>
        <w:rPr>
          <w:rFonts w:hint="eastAsia" w:ascii="宋体" w:hAnsi="宋体"/>
          <w:b/>
          <w:bCs/>
          <w:color w:val="FF0000"/>
          <w:szCs w:val="21"/>
          <w:highlight w:val="yellow"/>
        </w:rPr>
        <w:t>在合同设备免费保修期满后，</w:t>
      </w:r>
      <w:r>
        <w:rPr>
          <w:rFonts w:hint="eastAsia" w:ascii="宋体" w:hAnsi="宋体"/>
          <w:b/>
          <w:bCs/>
          <w:szCs w:val="21"/>
          <w:highlight w:val="yellow"/>
        </w:rPr>
        <w:t>中标人</w:t>
      </w:r>
      <w:r>
        <w:rPr>
          <w:rFonts w:hint="eastAsia" w:ascii="宋体" w:hAnsi="宋体"/>
          <w:b/>
          <w:bCs/>
          <w:color w:val="FF0000"/>
          <w:szCs w:val="21"/>
          <w:highlight w:val="yellow"/>
        </w:rPr>
        <w:t>向</w:t>
      </w:r>
      <w:r>
        <w:rPr>
          <w:rFonts w:hint="eastAsia" w:ascii="宋体" w:hAnsi="宋体"/>
          <w:b/>
          <w:bCs/>
          <w:szCs w:val="21"/>
          <w:highlight w:val="yellow"/>
        </w:rPr>
        <w:t>采购人</w:t>
      </w:r>
      <w:r>
        <w:rPr>
          <w:rFonts w:hint="eastAsia" w:ascii="宋体" w:hAnsi="宋体"/>
          <w:b/>
          <w:bCs/>
          <w:color w:val="FF0000"/>
          <w:szCs w:val="21"/>
          <w:highlight w:val="yellow"/>
        </w:rPr>
        <w:t>提供完整资料到达</w:t>
      </w:r>
      <w:r>
        <w:rPr>
          <w:rFonts w:hint="eastAsia" w:ascii="宋体" w:hAnsi="宋体"/>
          <w:b/>
          <w:bCs/>
          <w:szCs w:val="21"/>
          <w:highlight w:val="yellow"/>
        </w:rPr>
        <w:t>采购人</w:t>
      </w:r>
      <w:r>
        <w:rPr>
          <w:rFonts w:hint="eastAsia" w:ascii="宋体" w:hAnsi="宋体"/>
          <w:b/>
          <w:bCs/>
          <w:color w:val="FF0000"/>
          <w:szCs w:val="21"/>
          <w:highlight w:val="yellow"/>
        </w:rPr>
        <w:t>财务之日起30日内，</w:t>
      </w:r>
      <w:r>
        <w:rPr>
          <w:rFonts w:hint="eastAsia" w:ascii="宋体" w:hAnsi="宋体"/>
          <w:b/>
          <w:bCs/>
          <w:szCs w:val="21"/>
          <w:highlight w:val="yellow"/>
        </w:rPr>
        <w:t>采购人</w:t>
      </w:r>
      <w:r>
        <w:rPr>
          <w:rFonts w:hint="eastAsia" w:ascii="宋体" w:hAnsi="宋体"/>
          <w:b/>
          <w:bCs/>
          <w:color w:val="FF0000"/>
          <w:szCs w:val="21"/>
          <w:highlight w:val="yellow"/>
        </w:rPr>
        <w:t>将履约保证金无息返还给</w:t>
      </w:r>
      <w:r>
        <w:rPr>
          <w:rFonts w:hint="eastAsia" w:ascii="宋体" w:hAnsi="宋体"/>
          <w:b/>
          <w:bCs/>
          <w:szCs w:val="21"/>
          <w:highlight w:val="yellow"/>
        </w:rPr>
        <w:t>中标人</w:t>
      </w:r>
      <w:r>
        <w:rPr>
          <w:rFonts w:hint="eastAsia" w:ascii="宋体" w:hAnsi="宋体"/>
          <w:b/>
          <w:bCs/>
          <w:color w:val="FF0000"/>
          <w:szCs w:val="21"/>
          <w:highlight w:val="yellow"/>
        </w:rPr>
        <w:t>。</w:t>
      </w:r>
    </w:p>
    <w:p>
      <w:pPr>
        <w:widowControl/>
        <w:spacing w:line="540" w:lineRule="exact"/>
        <w:ind w:firstLine="422" w:firstLineChars="200"/>
        <w:jc w:val="left"/>
        <w:rPr>
          <w:rFonts w:ascii="宋体" w:hAnsi="宋体"/>
          <w:b/>
          <w:bCs/>
          <w:szCs w:val="21"/>
          <w:highlight w:val="yellow"/>
        </w:rPr>
      </w:pPr>
    </w:p>
    <w:p>
      <w:pPr>
        <w:spacing w:line="360" w:lineRule="auto"/>
        <w:ind w:firstLine="482" w:firstLineChars="200"/>
        <w:rPr>
          <w:rFonts w:asciiTheme="minorEastAsia" w:hAnsiTheme="minorEastAsia" w:eastAsiaTheme="minorEastAsia"/>
          <w:b/>
          <w:bCs/>
          <w:szCs w:val="21"/>
          <w:highlight w:val="yellow"/>
        </w:rPr>
      </w:pPr>
      <w:r>
        <w:rPr>
          <w:rFonts w:hint="eastAsia"/>
          <w:b/>
          <w:bCs/>
          <w:sz w:val="24"/>
          <w:highlight w:val="yellow"/>
        </w:rPr>
        <w:t>★</w:t>
      </w:r>
      <w:r>
        <w:rPr>
          <w:rFonts w:hint="eastAsia" w:asciiTheme="minorEastAsia" w:hAnsiTheme="minorEastAsia" w:eastAsiaTheme="minorEastAsia"/>
          <w:b/>
          <w:bCs/>
          <w:szCs w:val="21"/>
          <w:highlight w:val="yellow"/>
        </w:rPr>
        <w:t>5、交货要求：</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 xml:space="preserve">5.1 </w:t>
      </w:r>
      <w:r>
        <w:rPr>
          <w:rFonts w:asciiTheme="minorEastAsia" w:hAnsiTheme="minorEastAsia" w:eastAsiaTheme="minorEastAsia"/>
          <w:b/>
          <w:bCs/>
          <w:szCs w:val="21"/>
          <w:highlight w:val="yellow"/>
        </w:rPr>
        <w:t>中标</w:t>
      </w:r>
      <w:r>
        <w:rPr>
          <w:rFonts w:hint="eastAsia" w:asciiTheme="minorEastAsia" w:hAnsiTheme="minorEastAsia" w:eastAsiaTheme="minorEastAsia"/>
          <w:b/>
          <w:bCs/>
          <w:szCs w:val="21"/>
          <w:highlight w:val="yellow"/>
        </w:rPr>
        <w:t>人</w:t>
      </w:r>
      <w:r>
        <w:rPr>
          <w:rFonts w:asciiTheme="minorEastAsia" w:hAnsiTheme="minorEastAsia" w:eastAsiaTheme="minorEastAsia"/>
          <w:b/>
          <w:bCs/>
          <w:szCs w:val="21"/>
          <w:highlight w:val="yellow"/>
        </w:rPr>
        <w:t>应向采购人提供</w:t>
      </w:r>
      <w:r>
        <w:rPr>
          <w:rFonts w:hint="eastAsia" w:asciiTheme="minorEastAsia" w:hAnsiTheme="minorEastAsia" w:eastAsiaTheme="minorEastAsia"/>
          <w:b/>
          <w:bCs/>
          <w:szCs w:val="21"/>
          <w:highlight w:val="yellow"/>
        </w:rPr>
        <w:t>配置清单、产品说明书、图纸、操作手册、中文操作使用说明书、</w:t>
      </w:r>
      <w:r>
        <w:rPr>
          <w:rFonts w:asciiTheme="minorEastAsia" w:hAnsiTheme="minorEastAsia" w:eastAsiaTheme="minorEastAsia"/>
          <w:b/>
          <w:bCs/>
          <w:szCs w:val="21"/>
          <w:highlight w:val="yellow"/>
        </w:rPr>
        <w:t>设备原厂维护手册、维修手册、软件备份、故障代码表、备件清单、零部件、</w:t>
      </w:r>
      <w:r>
        <w:rPr>
          <w:rFonts w:hint="eastAsia" w:asciiTheme="minorEastAsia" w:hAnsiTheme="minorEastAsia" w:eastAsiaTheme="minorEastAsia"/>
          <w:b/>
          <w:bCs/>
          <w:szCs w:val="21"/>
          <w:highlight w:val="yellow"/>
        </w:rPr>
        <w:t>维护手册（含维修密码及接口数据）等维护维修必需的材料和信息。所有外文资料需提供中文译本。文件应随货物一并交付至采购人指点地点。</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5.2提供的货物必须为全新货物，出厂日期在采购人收到日期前</w:t>
      </w:r>
      <w:r>
        <w:rPr>
          <w:rFonts w:asciiTheme="minorEastAsia" w:hAnsiTheme="minorEastAsia" w:eastAsiaTheme="minorEastAsia"/>
          <w:b/>
          <w:bCs/>
          <w:szCs w:val="21"/>
          <w:highlight w:val="yellow"/>
        </w:rPr>
        <w:t>12</w:t>
      </w:r>
      <w:r>
        <w:rPr>
          <w:rFonts w:hint="eastAsia" w:asciiTheme="minorEastAsia" w:hAnsiTheme="minorEastAsia" w:eastAsiaTheme="minorEastAsia"/>
          <w:b/>
          <w:bCs/>
          <w:szCs w:val="21"/>
          <w:highlight w:val="yellow"/>
        </w:rPr>
        <w:t>个月内经检验合格的产品。产品如需要计量检定的应提供相关计量检定部门出具的合法检定报告。其中，进口设备必须具有报关证明文件、原产地证明和商检合格证明文件等相关证明文件，否则采购人概不接收。如国家规定的强检设备，由中标人负责完成首次计量强制检定，验收前中标人必须附上计量检定合格报告。</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5.3 采购人有权检验或测试货物，以确认货物是否符合合同规格的要求，并且不承担额外的费用。如发现所交货物与投标文件中所承诺的不符或存在质量、技术缺陷等,采购人可以拒绝接收该货物,中标人应在 7 日历日内采取补足、更换或退货等措施,以满足规格的要求，由此发生的一切损失和费用由中标人承担。</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5.4中标人负责货物的现场安装和调试,提供货物安装、调试和维修所需的专用工具和辅助材料。中标人应在货物运至指定地点后一周内开始安装调试,并在 7 日历日内安装调试完毕。</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5.5货物安装需施工的，中标人应在合同签订前提供设备安装施工图纸，采购人与中标人共同签字确定安装场地施工方案。并承担设备的包装、运输、保险、装卸、安装调试、培训、商检及计量检测、关税、增值税和进口代理等费用。</w:t>
      </w:r>
    </w:p>
    <w:p>
      <w:pPr>
        <w:spacing w:line="360" w:lineRule="auto"/>
        <w:ind w:firstLine="482" w:firstLineChars="200"/>
        <w:rPr>
          <w:rFonts w:asciiTheme="minorEastAsia" w:hAnsiTheme="minorEastAsia" w:eastAsiaTheme="minorEastAsia"/>
          <w:b/>
          <w:bCs/>
          <w:szCs w:val="21"/>
          <w:highlight w:val="yellow"/>
        </w:rPr>
      </w:pPr>
      <w:r>
        <w:rPr>
          <w:rFonts w:hint="eastAsia"/>
          <w:b/>
          <w:bCs/>
          <w:sz w:val="24"/>
          <w:highlight w:val="yellow"/>
        </w:rPr>
        <w:t>★</w:t>
      </w:r>
      <w:r>
        <w:rPr>
          <w:rFonts w:hint="eastAsia" w:asciiTheme="minorEastAsia" w:hAnsiTheme="minorEastAsia" w:eastAsiaTheme="minorEastAsia"/>
          <w:b/>
          <w:bCs/>
          <w:szCs w:val="21"/>
          <w:highlight w:val="yellow"/>
        </w:rPr>
        <w:t>6、验收：</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6.1中标人应派有经验的技术人员到现场进行安装、调试，直到设备正常使用。由采购人按合同和招标、投标文件约定的要求和标准及中华人民共和国现行的验收规范和评定标准进行交货验收。</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 xml:space="preserve">6.2 验收要求：货物必须满足以下条件后方可被采购方接受： </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1）货物具备产品合格证。</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2）设备全新,外观无伤痕变形或明显修饰痕迹。</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3）如有国标，必须符合有关规定；如无国标，则按照行业标准；如无国标及行业标准，则按双方约定执行。投标文件提供的技术数据经实测证实是真实的。检验及质量保证期内达到的性能指标与要求一致，达到或优于相应标准。</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4）技术文件资料、备件等已按规定数量移交完毕。</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5）按照招标书要求及投标文件提供的技术要求验收必须合格。</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6）中标人提供的各种文件载明的内容必须真实，采购人对产品的技术数据置疑时有权要求中标人按照双方认可的第三方检测机构出具的检验方法进行检测(检测费用由中标人承担)，检测结果必须证明中标人提供的技术数据是真实的，否则视为不合格。</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7）在货物安装调试合格后，所有技术指标达到技术规范书要求，经验收合格后，双方共同签署验收报告。产品质保期自验收合格之日起算，由中标人提供产品质保文件。</w:t>
      </w:r>
    </w:p>
    <w:p>
      <w:pPr>
        <w:spacing w:line="360" w:lineRule="auto"/>
        <w:ind w:firstLine="482" w:firstLineChars="200"/>
        <w:rPr>
          <w:rFonts w:asciiTheme="minorEastAsia" w:hAnsiTheme="minorEastAsia" w:eastAsiaTheme="minorEastAsia"/>
          <w:b/>
          <w:bCs/>
          <w:szCs w:val="21"/>
          <w:highlight w:val="yellow"/>
        </w:rPr>
      </w:pPr>
      <w:r>
        <w:rPr>
          <w:rFonts w:hint="eastAsia"/>
          <w:b/>
          <w:bCs/>
          <w:sz w:val="24"/>
          <w:highlight w:val="yellow"/>
        </w:rPr>
        <w:t>★</w:t>
      </w:r>
      <w:r>
        <w:rPr>
          <w:rFonts w:hint="eastAsia" w:asciiTheme="minorEastAsia" w:hAnsiTheme="minorEastAsia" w:eastAsiaTheme="minorEastAsia"/>
          <w:b/>
          <w:bCs/>
          <w:szCs w:val="21"/>
          <w:highlight w:val="yellow"/>
        </w:rPr>
        <w:t>7、售后服务要求</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7.1</w:t>
      </w:r>
      <w:r>
        <w:rPr>
          <w:rFonts w:hint="eastAsia" w:ascii="宋体" w:hAnsi="宋体"/>
          <w:b/>
          <w:bCs/>
          <w:color w:val="0000FF"/>
          <w:szCs w:val="21"/>
          <w:highlight w:val="yellow"/>
        </w:rPr>
        <w:t>各投标人应在投标文件中承诺提供整机（含主机和所有配件，耗材除外）免费原厂保修期</w:t>
      </w:r>
      <w:r>
        <w:rPr>
          <w:rFonts w:hint="eastAsia" w:asciiTheme="minorEastAsia" w:hAnsiTheme="minorEastAsia" w:eastAsiaTheme="minorEastAsia"/>
          <w:b/>
          <w:bCs/>
          <w:color w:val="FF0000"/>
          <w:szCs w:val="21"/>
          <w:highlight w:val="yellow"/>
          <w:u w:val="single"/>
        </w:rPr>
        <w:t>3</w:t>
      </w:r>
      <w:r>
        <w:rPr>
          <w:rFonts w:hint="eastAsia" w:asciiTheme="minorEastAsia" w:hAnsiTheme="minorEastAsia" w:eastAsiaTheme="minorEastAsia"/>
          <w:b/>
          <w:bCs/>
          <w:color w:val="FF0000"/>
          <w:szCs w:val="21"/>
          <w:highlight w:val="yellow"/>
        </w:rPr>
        <w:t>年</w:t>
      </w:r>
      <w:r>
        <w:rPr>
          <w:rFonts w:hint="eastAsia" w:asciiTheme="minorEastAsia" w:hAnsiTheme="minorEastAsia" w:eastAsiaTheme="minorEastAsia"/>
          <w:b/>
          <w:bCs/>
          <w:szCs w:val="21"/>
          <w:highlight w:val="yellow"/>
        </w:rPr>
        <w:t>，终身维修。质保期内</w:t>
      </w:r>
      <w:r>
        <w:rPr>
          <w:rFonts w:asciiTheme="minorEastAsia" w:hAnsiTheme="minorEastAsia" w:eastAsiaTheme="minorEastAsia"/>
          <w:b/>
          <w:bCs/>
          <w:szCs w:val="21"/>
          <w:highlight w:val="yellow"/>
        </w:rPr>
        <w:t>,</w:t>
      </w:r>
      <w:r>
        <w:rPr>
          <w:rFonts w:hint="eastAsia" w:asciiTheme="minorEastAsia" w:hAnsiTheme="minorEastAsia" w:eastAsiaTheme="minorEastAsia"/>
          <w:b/>
          <w:bCs/>
          <w:szCs w:val="21"/>
          <w:highlight w:val="yellow"/>
        </w:rPr>
        <w:t>年度定期预防性维护保养次数应不少于 2 次并留存维护记录。质保期内免费更换零配件、免工时费。</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7.2 4小时内响应，24 小时维修到位（不可抗力情况除外）。消耗品和零配件供应及时，质保期</w:t>
      </w:r>
      <w:r>
        <w:rPr>
          <w:rFonts w:asciiTheme="minorEastAsia" w:hAnsiTheme="minorEastAsia" w:eastAsiaTheme="minorEastAsia"/>
          <w:b/>
          <w:bCs/>
          <w:szCs w:val="21"/>
          <w:highlight w:val="yellow"/>
        </w:rPr>
        <w:t>内及外设备出现故障不能正常使用，中标</w:t>
      </w:r>
      <w:r>
        <w:rPr>
          <w:rFonts w:hint="eastAsia" w:asciiTheme="minorEastAsia" w:hAnsiTheme="minorEastAsia" w:eastAsiaTheme="minorEastAsia"/>
          <w:b/>
          <w:bCs/>
          <w:szCs w:val="21"/>
          <w:highlight w:val="yellow"/>
        </w:rPr>
        <w:t>人</w:t>
      </w:r>
      <w:r>
        <w:rPr>
          <w:rFonts w:asciiTheme="minorEastAsia" w:hAnsiTheme="minorEastAsia" w:eastAsiaTheme="minorEastAsia"/>
          <w:b/>
          <w:bCs/>
          <w:szCs w:val="21"/>
          <w:highlight w:val="yellow"/>
        </w:rPr>
        <w:t>应免费提供备用机给采购人使用直至设备修复完好投入使用。</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7.3质保期满以后，中标人对设备终身负责维修、安装、升级软件服务，长期以优惠价提供零配件（中标供应商提供主要零配件报价单）。设备使用期间中标人每季度至少回访采购方使用科室一次并对设备进行维护并留存维护记录。</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7.4免费提供软件升级服务,并免费开放设备接口，无偿派人配合与医院信息系统的连接工作(包括接口费与二次开发费)，直至该设备与医院信息系统可进行完整的数据交换；在设备整机免费保修期内，当医院信息系统变更并需要与该设备连接时，需无偿派人配合直至该设备与医院信息系统可进行完整的数据交换。</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7.5质保期内【设备故障率】≤【 5 】%。【设备故障率】未达要求的，每升高【1】%，质保期顺延【30 】天。当【设备故障率】≥【 10 】%时，投标人必须在采购人提出要求之日起【 30 】日内无条件更换新机，并按该设备总价的【5】%向采购人支付违约金，由此造成采购人其他损失的，中标人应另行赔偿。中标人维修的指定邮箱</w:t>
      </w:r>
      <w:r>
        <w:rPr>
          <w:rFonts w:asciiTheme="minorEastAsia" w:hAnsiTheme="minorEastAsia" w:eastAsiaTheme="minorEastAsia"/>
          <w:b/>
          <w:bCs/>
          <w:szCs w:val="21"/>
          <w:highlight w:val="yellow"/>
        </w:rPr>
        <w:t>，</w:t>
      </w:r>
      <w:r>
        <w:rPr>
          <w:rFonts w:hint="eastAsia" w:asciiTheme="minorEastAsia" w:hAnsiTheme="minorEastAsia" w:eastAsiaTheme="minorEastAsia"/>
          <w:b/>
          <w:bCs/>
          <w:szCs w:val="21"/>
          <w:highlight w:val="yellow"/>
        </w:rPr>
        <w:t>采购人维修通知的邮件发出后，视为采购人的维修通知送达中标人。</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7.6</w:t>
      </w:r>
      <w:r>
        <w:rPr>
          <w:rFonts w:hint="eastAsia"/>
          <w:b/>
          <w:bCs/>
          <w:color w:val="0000FF"/>
          <w:highlight w:val="yellow"/>
        </w:rPr>
        <w:t>质保期满后，中标人应以优惠价供应维修零配件、消耗品。签订合同时填写合同模板中的《设备配套消耗材料报价单》和《设备主要维修配件报价单》。采购人可与中标人就优惠价进行谈判，但优惠价不得高于签订合同时承诺的维修零配件、消耗品的报价。</w:t>
      </w:r>
      <w:r>
        <w:rPr>
          <w:rFonts w:hint="eastAsia" w:asciiTheme="minorEastAsia" w:hAnsiTheme="minorEastAsia" w:eastAsiaTheme="minorEastAsia"/>
          <w:b/>
          <w:bCs/>
          <w:szCs w:val="21"/>
          <w:highlight w:val="yellow"/>
        </w:rPr>
        <w:t>质保期</w:t>
      </w:r>
      <w:r>
        <w:rPr>
          <w:rFonts w:asciiTheme="minorEastAsia" w:hAnsiTheme="minorEastAsia" w:eastAsiaTheme="minorEastAsia"/>
          <w:b/>
          <w:bCs/>
          <w:szCs w:val="21"/>
          <w:highlight w:val="yellow"/>
        </w:rPr>
        <w:t>满后，</w:t>
      </w:r>
      <w:r>
        <w:rPr>
          <w:rFonts w:hint="eastAsia" w:asciiTheme="minorEastAsia" w:hAnsiTheme="minorEastAsia" w:eastAsiaTheme="minorEastAsia"/>
          <w:b/>
          <w:bCs/>
          <w:szCs w:val="21"/>
          <w:highlight w:val="yellow"/>
        </w:rPr>
        <w:t>中标</w:t>
      </w:r>
      <w:r>
        <w:rPr>
          <w:rFonts w:asciiTheme="minorEastAsia" w:hAnsiTheme="minorEastAsia" w:eastAsiaTheme="minorEastAsia"/>
          <w:b/>
          <w:bCs/>
          <w:szCs w:val="21"/>
          <w:highlight w:val="yellow"/>
        </w:rPr>
        <w:t>人应以优惠价供应维修零配件、消耗品和延续保修合同。价格最高的前5项零配件、消耗品和延续保修合同的报价明细必须填写于《合同报价清单》中。采购人可与</w:t>
      </w:r>
      <w:r>
        <w:rPr>
          <w:rFonts w:hint="eastAsia" w:asciiTheme="minorEastAsia" w:hAnsiTheme="minorEastAsia" w:eastAsiaTheme="minorEastAsia"/>
          <w:b/>
          <w:bCs/>
          <w:szCs w:val="21"/>
          <w:highlight w:val="yellow"/>
        </w:rPr>
        <w:t>中标</w:t>
      </w:r>
      <w:r>
        <w:rPr>
          <w:rFonts w:asciiTheme="minorEastAsia" w:hAnsiTheme="minorEastAsia" w:eastAsiaTheme="minorEastAsia"/>
          <w:b/>
          <w:bCs/>
          <w:szCs w:val="21"/>
          <w:highlight w:val="yellow"/>
        </w:rPr>
        <w:t>人就优惠价进行谈判，但优惠价不得高于</w:t>
      </w:r>
      <w:r>
        <w:rPr>
          <w:rFonts w:hint="eastAsia" w:asciiTheme="minorEastAsia" w:hAnsiTheme="minorEastAsia" w:eastAsiaTheme="minorEastAsia"/>
          <w:b/>
          <w:bCs/>
          <w:szCs w:val="21"/>
          <w:highlight w:val="yellow"/>
        </w:rPr>
        <w:t>中标</w:t>
      </w:r>
      <w:r>
        <w:rPr>
          <w:rFonts w:asciiTheme="minorEastAsia" w:hAnsiTheme="minorEastAsia" w:eastAsiaTheme="minorEastAsia"/>
          <w:b/>
          <w:bCs/>
          <w:szCs w:val="21"/>
          <w:highlight w:val="yellow"/>
        </w:rPr>
        <w:t>人在投标文件的</w:t>
      </w:r>
      <w:r>
        <w:rPr>
          <w:rFonts w:hint="eastAsia" w:asciiTheme="minorEastAsia" w:hAnsiTheme="minorEastAsia" w:eastAsiaTheme="minorEastAsia"/>
          <w:b/>
          <w:bCs/>
          <w:szCs w:val="21"/>
          <w:highlight w:val="yellow"/>
        </w:rPr>
        <w:t>《主要易损配件维修初步报价单》、《配套耗材/试剂初步报价单》、《延续整机原厂维保服务报价单》</w:t>
      </w:r>
      <w:r>
        <w:rPr>
          <w:rFonts w:asciiTheme="minorEastAsia" w:hAnsiTheme="minorEastAsia" w:eastAsiaTheme="minorEastAsia"/>
          <w:b/>
          <w:bCs/>
          <w:szCs w:val="21"/>
          <w:highlight w:val="yellow"/>
        </w:rPr>
        <w:t>中承诺的维修零配件、消耗品和延续保修合同的报价。</w:t>
      </w:r>
    </w:p>
    <w:p>
      <w:pPr>
        <w:spacing w:line="360" w:lineRule="auto"/>
        <w:ind w:firstLine="482" w:firstLineChars="200"/>
        <w:rPr>
          <w:rFonts w:asciiTheme="minorEastAsia" w:hAnsiTheme="minorEastAsia" w:eastAsiaTheme="minorEastAsia"/>
          <w:b/>
          <w:bCs/>
          <w:szCs w:val="21"/>
          <w:highlight w:val="yellow"/>
        </w:rPr>
      </w:pPr>
      <w:r>
        <w:rPr>
          <w:rFonts w:hint="eastAsia"/>
          <w:b/>
          <w:bCs/>
          <w:sz w:val="24"/>
          <w:highlight w:val="yellow"/>
        </w:rPr>
        <w:t>★</w:t>
      </w:r>
      <w:r>
        <w:rPr>
          <w:rFonts w:hint="eastAsia" w:asciiTheme="minorEastAsia" w:hAnsiTheme="minorEastAsia" w:eastAsiaTheme="minorEastAsia"/>
          <w:b/>
          <w:bCs/>
          <w:szCs w:val="21"/>
          <w:highlight w:val="yellow"/>
        </w:rPr>
        <w:t>8、技术培训：</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需针对临床使用人员及工程人员设计培训方案，主要内容包括但不限于：临床使用及维护保养培训：设备的基本结构、性能、主要部件的构造及修理，日常使用保养与管理，常见故障的排除，紧急情况的处理等,直至能独立操作并附培训方案。</w:t>
      </w:r>
    </w:p>
    <w:p>
      <w:pPr>
        <w:spacing w:line="360" w:lineRule="auto"/>
        <w:ind w:firstLine="482" w:firstLineChars="200"/>
        <w:rPr>
          <w:rFonts w:asciiTheme="minorEastAsia" w:hAnsiTheme="minorEastAsia" w:eastAsiaTheme="minorEastAsia"/>
          <w:b/>
          <w:bCs/>
          <w:szCs w:val="21"/>
          <w:highlight w:val="yellow"/>
        </w:rPr>
      </w:pPr>
      <w:r>
        <w:rPr>
          <w:rFonts w:hint="eastAsia"/>
          <w:b/>
          <w:bCs/>
          <w:sz w:val="24"/>
          <w:highlight w:val="yellow"/>
        </w:rPr>
        <w:t>★</w:t>
      </w:r>
      <w:r>
        <w:rPr>
          <w:rFonts w:hint="eastAsia" w:asciiTheme="minorEastAsia" w:hAnsiTheme="minorEastAsia" w:eastAsiaTheme="minorEastAsia"/>
          <w:b/>
          <w:bCs/>
          <w:szCs w:val="21"/>
          <w:highlight w:val="yellow"/>
        </w:rPr>
        <w:t>9、违约责任：</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9.1中标人所交设备的品种、型号、规格、质量、功能、技术参数等方面不能实质性满足招标文件，</w:t>
      </w:r>
      <w:r>
        <w:rPr>
          <w:rFonts w:asciiTheme="minorEastAsia" w:hAnsiTheme="minorEastAsia" w:eastAsiaTheme="minorEastAsia"/>
          <w:b/>
          <w:bCs/>
          <w:szCs w:val="21"/>
          <w:highlight w:val="yellow"/>
        </w:rPr>
        <w:t>交付的货物不符合合同规定的</w:t>
      </w:r>
      <w:r>
        <w:rPr>
          <w:rFonts w:hint="eastAsia" w:asciiTheme="minorEastAsia" w:hAnsiTheme="minorEastAsia" w:eastAsiaTheme="minorEastAsia"/>
          <w:b/>
          <w:bCs/>
          <w:szCs w:val="21"/>
          <w:highlight w:val="yellow"/>
        </w:rPr>
        <w:t>，采购人有权拒绝收货，且中标</w:t>
      </w:r>
      <w:r>
        <w:rPr>
          <w:rFonts w:asciiTheme="minorEastAsia" w:hAnsiTheme="minorEastAsia" w:eastAsiaTheme="minorEastAsia"/>
          <w:b/>
          <w:bCs/>
          <w:szCs w:val="21"/>
          <w:highlight w:val="yellow"/>
        </w:rPr>
        <w:t>人向采购人支付合同总价的5%</w:t>
      </w:r>
      <w:r>
        <w:rPr>
          <w:rFonts w:hint="eastAsia" w:asciiTheme="minorEastAsia" w:hAnsiTheme="minorEastAsia" w:eastAsiaTheme="minorEastAsia"/>
          <w:b/>
          <w:bCs/>
          <w:szCs w:val="21"/>
          <w:highlight w:val="yellow"/>
        </w:rPr>
        <w:t>的违约金。</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9.2中标人逾期交货，或逾期完成安装调试，或货物逾期通过验收的，中标人均应支付逾期违约金，每日按合同总价的5‰计算；逾期超过三十日的，中标人需向采购人另行支付合同总价的10%的违约金，且采购人有权单方解除本合同，中标人于收到采购人发出的解除通知书后三日内无条件退回采购人已支付的全部款项。此条款与9.1条同时执行。</w:t>
      </w:r>
    </w:p>
    <w:p>
      <w:pPr>
        <w:spacing w:line="360" w:lineRule="auto"/>
        <w:ind w:firstLine="482" w:firstLineChars="200"/>
        <w:rPr>
          <w:rFonts w:asciiTheme="minorEastAsia" w:hAnsiTheme="minorEastAsia" w:eastAsiaTheme="minorEastAsia"/>
          <w:b/>
          <w:bCs/>
          <w:szCs w:val="21"/>
          <w:highlight w:val="yellow"/>
        </w:rPr>
      </w:pPr>
      <w:r>
        <w:rPr>
          <w:rFonts w:hint="eastAsia"/>
          <w:b/>
          <w:bCs/>
          <w:sz w:val="24"/>
          <w:highlight w:val="yellow"/>
        </w:rPr>
        <w:t>★</w:t>
      </w:r>
      <w:r>
        <w:rPr>
          <w:rFonts w:hint="eastAsia" w:asciiTheme="minorEastAsia" w:hAnsiTheme="minorEastAsia" w:eastAsiaTheme="minorEastAsia"/>
          <w:b/>
          <w:bCs/>
          <w:szCs w:val="21"/>
          <w:highlight w:val="yellow"/>
        </w:rPr>
        <w:t>10、其他</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10.1如有设备相关耗材、试剂或易损器械，设备及主要维修配件，请提供并分别列出它们的优惠价格。</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10.2设备电源插头符合使用科室现有的插座，如不符合提供相应的插头转换接口。</w:t>
      </w:r>
    </w:p>
    <w:p>
      <w:pPr>
        <w:spacing w:line="360" w:lineRule="auto"/>
        <w:ind w:firstLine="422" w:firstLineChars="200"/>
        <w:rPr>
          <w:rFonts w:asciiTheme="minorEastAsia" w:hAnsiTheme="minorEastAsia" w:eastAsiaTheme="minorEastAsia"/>
          <w:b/>
          <w:bCs/>
          <w:szCs w:val="21"/>
          <w:highlight w:val="yellow"/>
        </w:rPr>
      </w:pPr>
      <w:r>
        <w:rPr>
          <w:rFonts w:asciiTheme="minorEastAsia" w:hAnsiTheme="minorEastAsia" w:eastAsiaTheme="minorEastAsia"/>
          <w:b/>
          <w:bCs/>
          <w:szCs w:val="21"/>
          <w:highlight w:val="yellow"/>
        </w:rPr>
        <w:t>10.</w:t>
      </w:r>
      <w:r>
        <w:rPr>
          <w:rFonts w:hint="eastAsia" w:asciiTheme="minorEastAsia" w:hAnsiTheme="minorEastAsia" w:eastAsiaTheme="minorEastAsia"/>
          <w:b/>
          <w:bCs/>
          <w:szCs w:val="21"/>
          <w:highlight w:val="yellow"/>
        </w:rPr>
        <w:t>3如涉及工程类需提供相关的电路图、施工图，安装工程所涉及到的全部费用（包含但不限于装修费、旧设备拆装费、总承包管理服务费、安装如涉及外接电源、网络、给排水、排风等必须对现有设施进行改造或增加管线、材料及人工等），均由中标人承担，电源电线插座、长度和用电等需符合采购人的使用要求，所供设备均需妥善安装确保采购人可正常使用。</w:t>
      </w:r>
    </w:p>
    <w:p>
      <w:pPr>
        <w:spacing w:line="360" w:lineRule="auto"/>
        <w:rPr>
          <w:rFonts w:ascii="宋体" w:hAnsi="宋体"/>
          <w:b/>
          <w:bCs/>
          <w:snapToGrid w:val="0"/>
          <w:kern w:val="0"/>
          <w:sz w:val="24"/>
          <w:highlight w:val="yellow"/>
        </w:rPr>
      </w:pPr>
      <w:r>
        <w:rPr>
          <w:rFonts w:hint="eastAsia" w:asciiTheme="minorEastAsia" w:hAnsiTheme="minorEastAsia" w:eastAsiaTheme="minorEastAsia"/>
          <w:b/>
          <w:bCs/>
          <w:szCs w:val="21"/>
          <w:highlight w:val="yellow"/>
        </w:rPr>
        <w:t>10.4中标人所交付货物、工程或服务不符合其投标承诺的，或在投标阶段为中标而盲目虚假承诺、低价恶性竞争，在履约阶段则通过偷工减料、以次充好而获取利润的，将不予验收，并交主管部门遵照相关规定处理，所有责任由中标人一力承担。</w:t>
      </w:r>
    </w:p>
    <w:p>
      <w:pPr>
        <w:rPr>
          <w:highlight w:val="yellow"/>
        </w:rPr>
      </w:pPr>
    </w:p>
    <w:p>
      <w:pPr>
        <w:widowControl/>
        <w:jc w:val="left"/>
        <w:rPr>
          <w:highlight w:val="yellow"/>
        </w:rPr>
      </w:pPr>
    </w:p>
    <w:p>
      <w:pPr>
        <w:widowControl/>
        <w:jc w:val="left"/>
      </w:pPr>
      <w:r>
        <w:br w:type="page"/>
      </w:r>
    </w:p>
    <w:p/>
    <w:p>
      <w:pPr>
        <w:pStyle w:val="2"/>
      </w:pPr>
      <w:bookmarkStart w:id="2" w:name="_Toc73610140"/>
      <w:r>
        <w:rPr>
          <w:rFonts w:hint="eastAsia"/>
        </w:rPr>
        <w:t>第三章  投标文件初审</w:t>
      </w:r>
      <w:bookmarkEnd w:id="2"/>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3、未按招标文件要求提供法定代表人证明书和法定代表人授权委托证明书。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6、投标报价有严重缺漏项的。</w:t>
      </w:r>
    </w:p>
    <w:p>
      <w:pPr>
        <w:adjustRightInd w:val="0"/>
        <w:spacing w:line="360" w:lineRule="auto"/>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13、法律法规规定的其它情形。</w:t>
      </w:r>
    </w:p>
    <w:p/>
    <w:p/>
    <w:p/>
    <w:p/>
    <w:p>
      <w:pPr>
        <w:widowControl/>
        <w:jc w:val="left"/>
      </w:pPr>
      <w:r>
        <w:br w:type="page"/>
      </w:r>
    </w:p>
    <w:p/>
    <w:p>
      <w:pPr>
        <w:pStyle w:val="2"/>
        <w:spacing w:afterLines="100"/>
      </w:pPr>
      <w:bookmarkStart w:id="3" w:name="_Toc73610141"/>
      <w:r>
        <w:rPr>
          <w:rFonts w:hint="eastAsia"/>
        </w:rPr>
        <w:t>第四章  评标方法和标准</w:t>
      </w:r>
      <w:bookmarkEnd w:id="3"/>
    </w:p>
    <w:p>
      <w:pPr>
        <w:pStyle w:val="4"/>
        <w:spacing w:before="0" w:after="0"/>
      </w:pPr>
      <w:bookmarkStart w:id="4" w:name="_Toc44691161"/>
      <w:bookmarkStart w:id="5" w:name="_Toc44691393"/>
      <w:bookmarkStart w:id="6" w:name="_Toc44690429"/>
      <w:bookmarkStart w:id="7" w:name="_Toc44690702"/>
      <w:bookmarkStart w:id="8" w:name="_Toc73610142"/>
      <w:r>
        <w:rPr>
          <w:rFonts w:hint="eastAsia"/>
        </w:rPr>
        <w:t>一、</w:t>
      </w:r>
      <w:r>
        <w:t>评标方法</w:t>
      </w:r>
      <w:bookmarkEnd w:id="4"/>
      <w:bookmarkEnd w:id="5"/>
      <w:bookmarkEnd w:id="6"/>
      <w:bookmarkEnd w:id="7"/>
      <w:bookmarkEnd w:id="8"/>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得分且投标报价相同的并列。投标文件满足招标文件全部实质性要求，且按照评审因素的量化指标评审得分最高的投标人为排名第一的中标候选人。出现得分且投标报价相同的并列情况时，采取随机抽取的方式确定，具体操作办法及流程由评标委员会确定。</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4"/>
        <w:spacing w:before="0" w:after="0"/>
      </w:pPr>
      <w:bookmarkStart w:id="9" w:name="_Toc73610143"/>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0"/>
        <w:tblpPr w:leftFromText="180" w:rightFromText="180" w:vertAnchor="text" w:horzAnchor="page" w:tblpX="1182" w:tblpY="447"/>
        <w:tblOverlap w:val="never"/>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trPr>
        <w:tc>
          <w:tcPr>
            <w:tcW w:w="8559" w:type="dxa"/>
            <w:gridSpan w:val="4"/>
            <w:vAlign w:val="center"/>
          </w:tcPr>
          <w:p>
            <w:pPr>
              <w:pStyle w:val="45"/>
              <w:spacing w:before="0" w:beforeAutospacing="0" w:after="0" w:afterAutospacing="0" w:line="360" w:lineRule="exact"/>
              <w:ind w:left="420" w:hanging="420"/>
              <w:rPr>
                <w:rFonts w:cs="仿宋"/>
                <w:b/>
                <w:bCs/>
                <w:sz w:val="21"/>
                <w:szCs w:val="21"/>
              </w:rPr>
            </w:pPr>
            <w:r>
              <w:rPr>
                <w:rFonts w:hint="eastAsia" w:cs="仿宋" w:asciiTheme="minorEastAsia" w:hAnsiTheme="minorEastAsia" w:eastAsiaTheme="minorEastAsia"/>
                <w:kern w:val="2"/>
                <w:sz w:val="21"/>
                <w:szCs w:val="21"/>
              </w:rPr>
              <w:t>价格分采用低价优先法计算，计算公式如下：</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投标报价得分 = Z/Sn ×30</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当价格分＜0时，取0。 </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其中：</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Z </w:t>
            </w:r>
            <w:r>
              <w:rPr>
                <w:rFonts w:hint="eastAsia" w:cs="仿宋" w:asciiTheme="minorEastAsia" w:hAnsiTheme="minorEastAsia" w:eastAsiaTheme="minorEastAsia"/>
                <w:sz w:val="21"/>
                <w:szCs w:val="21"/>
              </w:rPr>
              <w:t>----</w:t>
            </w:r>
            <w:r>
              <w:rPr>
                <w:rFonts w:hint="eastAsia" w:cs="仿宋" w:asciiTheme="minorEastAsia" w:hAnsiTheme="minorEastAsia" w:eastAsiaTheme="minorEastAsia"/>
                <w:kern w:val="2"/>
                <w:sz w:val="21"/>
                <w:szCs w:val="21"/>
              </w:rPr>
              <w:t>评标基准价，即通过资格性审查和符合性审查且投标价格最低的投标报价。</w:t>
            </w:r>
          </w:p>
          <w:p>
            <w:pPr>
              <w:autoSpaceDE w:val="0"/>
              <w:autoSpaceDN w:val="0"/>
              <w:adjustRightInd w:val="0"/>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Sn ---投标报价，即通过资格性审查和符合性审查的投标报价。</w:t>
            </w:r>
          </w:p>
          <w:p>
            <w:pPr>
              <w:autoSpaceDE w:val="0"/>
              <w:autoSpaceDN w:val="0"/>
              <w:adjustRightInd w:val="0"/>
              <w:spacing w:line="360" w:lineRule="exact"/>
              <w:jc w:val="left"/>
              <w:rPr>
                <w:rFonts w:ascii="宋体" w:hAnsi="宋体"/>
                <w:b/>
                <w:bCs/>
                <w:snapToGrid w:val="0"/>
                <w:kern w:val="0"/>
              </w:rPr>
            </w:pPr>
            <w:r>
              <w:rPr>
                <w:rFonts w:hint="eastAsia" w:ascii="宋体" w:hAnsi="宋体"/>
                <w:b/>
                <w:snapToGrid w:val="0"/>
                <w:kern w:val="0"/>
                <w:szCs w:val="21"/>
              </w:rPr>
              <w:t>注：对于符合 “</w:t>
            </w:r>
            <w:r>
              <w:rPr>
                <w:rFonts w:hint="eastAsia" w:ascii="宋体" w:hAnsi="宋体"/>
                <w:b/>
                <w:snapToGrid w:val="0"/>
                <w:kern w:val="0"/>
              </w:rPr>
              <w:t>政府采购优惠政策</w:t>
            </w:r>
            <w:r>
              <w:rPr>
                <w:rFonts w:hint="eastAsia" w:ascii="宋体" w:hAnsi="宋体"/>
                <w:b/>
                <w:bCs/>
                <w:snapToGrid w:val="0"/>
                <w:kern w:val="0"/>
              </w:rPr>
              <w:t>”的小微企业、监狱企业和残疾人福利性单位，以调整后的价格计算评标基准价和投标报价。</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57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54" w:hRule="atLeast"/>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400" w:lineRule="exact"/>
              <w:jc w:val="center"/>
              <w:rPr>
                <w:rFonts w:ascii="宋体" w:hAnsi="宋体" w:cs="仿宋"/>
                <w:kern w:val="0"/>
                <w:szCs w:val="21"/>
              </w:rPr>
            </w:pPr>
            <w:r>
              <w:rPr>
                <w:rFonts w:hint="eastAsia" w:ascii="宋体" w:hAnsi="宋体" w:cs="宋体"/>
                <w:kern w:val="0"/>
                <w:szCs w:val="21"/>
              </w:rPr>
              <w:t>技术规格偏离情况</w:t>
            </w:r>
          </w:p>
        </w:tc>
        <w:tc>
          <w:tcPr>
            <w:tcW w:w="709" w:type="dxa"/>
            <w:vAlign w:val="center"/>
          </w:tcPr>
          <w:p>
            <w:pPr>
              <w:widowControl/>
              <w:spacing w:line="400" w:lineRule="exact"/>
              <w:jc w:val="center"/>
              <w:rPr>
                <w:rFonts w:hint="default" w:ascii="宋体" w:hAnsi="宋体" w:eastAsia="宋体" w:cs="仿宋"/>
                <w:color w:val="auto"/>
                <w:kern w:val="0"/>
                <w:szCs w:val="21"/>
                <w:lang w:val="en-US" w:eastAsia="zh-CN"/>
              </w:rPr>
            </w:pPr>
            <w:r>
              <w:rPr>
                <w:rFonts w:hint="eastAsia" w:ascii="宋体" w:hAnsi="宋体" w:cs="仿宋"/>
                <w:color w:val="auto"/>
                <w:kern w:val="0"/>
                <w:szCs w:val="21"/>
                <w:lang w:val="en-US" w:eastAsia="zh-CN"/>
              </w:rPr>
              <w:t>34</w:t>
            </w:r>
          </w:p>
        </w:tc>
        <w:tc>
          <w:tcPr>
            <w:tcW w:w="5953" w:type="dxa"/>
            <w:vAlign w:val="center"/>
          </w:tcPr>
          <w:p>
            <w:pPr>
              <w:pStyle w:val="94"/>
              <w:spacing w:line="400" w:lineRule="exact"/>
              <w:ind w:firstLine="0" w:firstLineChars="0"/>
              <w:rPr>
                <w:rFonts w:ascii="宋体" w:hAnsi="宋体"/>
                <w:color w:val="auto"/>
                <w:szCs w:val="21"/>
              </w:rPr>
            </w:pPr>
            <w:r>
              <w:rPr>
                <w:rFonts w:hint="eastAsia" w:ascii="宋体" w:hAnsi="宋体"/>
                <w:color w:val="auto"/>
                <w:szCs w:val="21"/>
              </w:rPr>
              <w:t>（一）评分内容：</w:t>
            </w:r>
          </w:p>
          <w:p>
            <w:pPr>
              <w:spacing w:line="400" w:lineRule="exact"/>
              <w:jc w:val="left"/>
              <w:rPr>
                <w:rFonts w:ascii="宋体" w:hAnsi="宋体" w:cs="仿宋"/>
                <w:color w:val="auto"/>
                <w:szCs w:val="21"/>
              </w:rPr>
            </w:pPr>
            <w:r>
              <w:rPr>
                <w:rFonts w:hint="eastAsia" w:ascii="宋体" w:hAnsi="宋体" w:cs="仿宋"/>
                <w:color w:val="auto"/>
                <w:szCs w:val="21"/>
              </w:rPr>
              <w:t xml:space="preserve">投标人应如实填写《技术规格偏离表》，各项技术参数指标及要求全部满足的得 </w:t>
            </w:r>
            <w:r>
              <w:rPr>
                <w:rFonts w:hint="eastAsia" w:ascii="宋体" w:hAnsi="宋体" w:cs="仿宋"/>
                <w:color w:val="auto"/>
                <w:szCs w:val="21"/>
                <w:lang w:val="en-US" w:eastAsia="zh-CN"/>
              </w:rPr>
              <w:t>34</w:t>
            </w:r>
            <w:r>
              <w:rPr>
                <w:rFonts w:hint="eastAsia" w:ascii="宋体" w:hAnsi="宋体" w:cs="仿宋"/>
                <w:color w:val="auto"/>
                <w:szCs w:val="21"/>
              </w:rPr>
              <w:t>分；“▲”参数为重要指标，每负偏离一项扣</w:t>
            </w:r>
            <w:r>
              <w:rPr>
                <w:rFonts w:hint="eastAsia" w:ascii="宋体" w:hAnsi="宋体" w:cs="仿宋"/>
                <w:color w:val="auto"/>
                <w:szCs w:val="21"/>
                <w:lang w:val="en-US" w:eastAsia="zh-CN"/>
              </w:rPr>
              <w:t>6</w:t>
            </w:r>
            <w:r>
              <w:rPr>
                <w:rFonts w:hint="eastAsia" w:ascii="宋体" w:hAnsi="宋体" w:cs="仿宋"/>
                <w:color w:val="auto"/>
                <w:szCs w:val="21"/>
              </w:rPr>
              <w:t xml:space="preserve">分；其余指标每负偏离一项扣 </w:t>
            </w:r>
            <w:r>
              <w:rPr>
                <w:rFonts w:hint="eastAsia" w:ascii="宋体" w:hAnsi="宋体" w:cs="仿宋"/>
                <w:color w:val="auto"/>
                <w:szCs w:val="21"/>
                <w:lang w:val="en-US" w:eastAsia="zh-CN"/>
              </w:rPr>
              <w:t>1</w:t>
            </w:r>
            <w:r>
              <w:rPr>
                <w:rFonts w:hint="eastAsia" w:ascii="宋体" w:hAnsi="宋体" w:cs="仿宋"/>
                <w:color w:val="auto"/>
                <w:szCs w:val="21"/>
              </w:rPr>
              <w:t>分，</w:t>
            </w:r>
            <w:r>
              <w:rPr>
                <w:rFonts w:hint="eastAsia" w:ascii="宋体" w:hAnsi="宋体"/>
                <w:bCs/>
                <w:color w:val="auto"/>
                <w:szCs w:val="21"/>
              </w:rPr>
              <w:t>最低0分</w:t>
            </w:r>
            <w:r>
              <w:rPr>
                <w:rFonts w:hint="eastAsia" w:ascii="宋体" w:hAnsi="宋体" w:cs="仿宋"/>
                <w:color w:val="auto"/>
                <w:szCs w:val="21"/>
              </w:rPr>
              <w:t>。</w:t>
            </w:r>
          </w:p>
          <w:p>
            <w:pPr>
              <w:autoSpaceDE w:val="0"/>
              <w:autoSpaceDN w:val="0"/>
              <w:adjustRightInd w:val="0"/>
              <w:spacing w:line="400" w:lineRule="exact"/>
              <w:jc w:val="left"/>
              <w:rPr>
                <w:rFonts w:ascii="宋体" w:hAnsi="宋体"/>
                <w:color w:val="auto"/>
                <w:kern w:val="0"/>
                <w:szCs w:val="21"/>
              </w:rPr>
            </w:pPr>
            <w:r>
              <w:rPr>
                <w:rFonts w:hint="eastAsia" w:ascii="宋体" w:hAnsi="宋体"/>
                <w:color w:val="auto"/>
                <w:kern w:val="0"/>
                <w:szCs w:val="21"/>
              </w:rPr>
              <w:t>（二）评分依据：</w:t>
            </w:r>
          </w:p>
          <w:p>
            <w:pPr>
              <w:spacing w:line="400" w:lineRule="exact"/>
              <w:jc w:val="left"/>
              <w:rPr>
                <w:rFonts w:ascii="宋体" w:hAnsi="宋体" w:cs="仿宋"/>
                <w:color w:val="auto"/>
                <w:szCs w:val="21"/>
              </w:rPr>
            </w:pPr>
            <w:r>
              <w:rPr>
                <w:rFonts w:hint="eastAsia" w:ascii="宋体" w:hAnsi="宋体"/>
                <w:bCs/>
                <w:color w:val="auto"/>
                <w:szCs w:val="21"/>
              </w:rPr>
              <w:t>以投标文件《技术</w:t>
            </w:r>
            <w:r>
              <w:rPr>
                <w:rFonts w:hint="eastAsia" w:ascii="宋体" w:hAnsi="宋体" w:cs="仿宋"/>
                <w:color w:val="auto"/>
                <w:szCs w:val="21"/>
              </w:rPr>
              <w:t>规格</w:t>
            </w:r>
            <w:r>
              <w:rPr>
                <w:rFonts w:hint="eastAsia" w:ascii="宋体" w:hAnsi="宋体"/>
                <w:bCs/>
                <w:color w:val="auto"/>
                <w:szCs w:val="21"/>
              </w:rPr>
              <w:t>偏离表》为评分依据，投标人</w:t>
            </w:r>
            <w:r>
              <w:rPr>
                <w:rFonts w:hint="eastAsia" w:ascii="宋体" w:hAnsi="宋体" w:cs="仿宋"/>
                <w:color w:val="auto"/>
                <w:szCs w:val="21"/>
              </w:rPr>
              <w:t>按招标文件要求提供相应的证明材料复印件或扫描件加盖投标人公章（原件备查），并注明证明材料在投标文件中的具体位置。未提供有效证明材料或未注明证明材料在投标文件中的具体位置或提供的证明资料显示不符合招标文件要求、模糊不清无法判断或未显示是否满足招标文件参数的，该项技术指标按负偏离处理。</w:t>
            </w:r>
          </w:p>
        </w:tc>
        <w:tc>
          <w:tcPr>
            <w:tcW w:w="1187" w:type="dxa"/>
            <w:vAlign w:val="center"/>
          </w:tcPr>
          <w:p>
            <w:pPr>
              <w:widowControl/>
              <w:spacing w:line="400" w:lineRule="exact"/>
              <w:jc w:val="center"/>
              <w:rPr>
                <w:rFonts w:ascii="宋体" w:hAnsi="宋体" w:cs="仿宋"/>
                <w:szCs w:val="21"/>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2</w:t>
            </w:r>
          </w:p>
        </w:tc>
        <w:tc>
          <w:tcPr>
            <w:tcW w:w="1143" w:type="dxa"/>
            <w:vAlign w:val="center"/>
          </w:tcPr>
          <w:p>
            <w:pPr>
              <w:spacing w:line="400" w:lineRule="exact"/>
              <w:jc w:val="center"/>
              <w:rPr>
                <w:rFonts w:ascii="宋体" w:hAnsi="宋体" w:cs="宋体"/>
                <w:kern w:val="0"/>
                <w:szCs w:val="21"/>
              </w:rPr>
            </w:pPr>
            <w:r>
              <w:rPr>
                <w:rFonts w:hint="eastAsia" w:ascii="宋体" w:hAnsi="宋体" w:cs="宋体"/>
                <w:kern w:val="0"/>
                <w:szCs w:val="21"/>
              </w:rPr>
              <w:t>技术保障措施</w:t>
            </w:r>
          </w:p>
        </w:tc>
        <w:tc>
          <w:tcPr>
            <w:tcW w:w="709" w:type="dxa"/>
            <w:vAlign w:val="center"/>
          </w:tcPr>
          <w:p>
            <w:pPr>
              <w:spacing w:line="400" w:lineRule="exact"/>
              <w:jc w:val="center"/>
              <w:rPr>
                <w:rFonts w:hint="eastAsia" w:ascii="宋体" w:hAnsi="宋体" w:eastAsia="宋体" w:cs="仿宋"/>
                <w:color w:val="auto"/>
                <w:szCs w:val="21"/>
                <w:lang w:eastAsia="zh-CN"/>
              </w:rPr>
            </w:pPr>
            <w:r>
              <w:rPr>
                <w:rFonts w:hint="eastAsia" w:ascii="宋体" w:hAnsi="宋体" w:cs="仿宋"/>
                <w:color w:val="auto"/>
                <w:szCs w:val="21"/>
                <w:lang w:val="en-US" w:eastAsia="zh-CN"/>
              </w:rPr>
              <w:t>7</w:t>
            </w:r>
          </w:p>
        </w:tc>
        <w:tc>
          <w:tcPr>
            <w:tcW w:w="5953" w:type="dxa"/>
            <w:vAlign w:val="center"/>
          </w:tcPr>
          <w:p>
            <w:pPr>
              <w:spacing w:line="400" w:lineRule="exact"/>
              <w:jc w:val="left"/>
              <w:rPr>
                <w:rFonts w:ascii="宋体" w:hAnsi="宋体" w:cs="仿宋"/>
                <w:color w:val="auto"/>
                <w:szCs w:val="21"/>
              </w:rPr>
            </w:pPr>
            <w:r>
              <w:rPr>
                <w:rFonts w:hint="eastAsia" w:ascii="宋体" w:hAnsi="宋体" w:cs="仿宋"/>
                <w:color w:val="auto"/>
                <w:szCs w:val="21"/>
              </w:rPr>
              <w:t>（一）评分内容：</w:t>
            </w:r>
          </w:p>
          <w:p>
            <w:pPr>
              <w:spacing w:line="400" w:lineRule="exact"/>
              <w:jc w:val="left"/>
              <w:rPr>
                <w:rFonts w:ascii="宋体" w:hAnsi="宋体" w:cs="仿宋"/>
                <w:color w:val="auto"/>
                <w:szCs w:val="21"/>
              </w:rPr>
            </w:pPr>
            <w:r>
              <w:rPr>
                <w:rFonts w:hint="eastAsia" w:ascii="宋体" w:hAnsi="宋体" w:cs="仿宋"/>
                <w:color w:val="auto"/>
                <w:szCs w:val="21"/>
              </w:rPr>
              <w:t>投标人在投标文件中提供详细说明技术保障措施，包括但不限于技术团队、详细技术培训方案、产品质量检查措施；</w:t>
            </w:r>
          </w:p>
          <w:p>
            <w:pPr>
              <w:spacing w:line="400" w:lineRule="exact"/>
              <w:jc w:val="left"/>
              <w:rPr>
                <w:rFonts w:ascii="宋体" w:hAnsi="宋体" w:cs="仿宋"/>
                <w:color w:val="auto"/>
                <w:szCs w:val="21"/>
              </w:rPr>
            </w:pPr>
            <w:r>
              <w:rPr>
                <w:rFonts w:hint="eastAsia" w:ascii="宋体" w:hAnsi="宋体" w:cs="仿宋"/>
                <w:color w:val="auto"/>
                <w:szCs w:val="21"/>
              </w:rPr>
              <w:t>（二）评分标准：</w:t>
            </w:r>
          </w:p>
          <w:p>
            <w:pPr>
              <w:spacing w:line="400" w:lineRule="exact"/>
              <w:jc w:val="left"/>
              <w:rPr>
                <w:rFonts w:ascii="宋体" w:hAnsi="宋体" w:cs="仿宋"/>
                <w:color w:val="auto"/>
                <w:szCs w:val="21"/>
              </w:rPr>
            </w:pPr>
            <w:r>
              <w:rPr>
                <w:rFonts w:hint="eastAsia" w:ascii="宋体" w:hAnsi="宋体" w:cs="仿宋"/>
                <w:color w:val="auto"/>
                <w:szCs w:val="21"/>
              </w:rPr>
              <w:t>（1）从技术团队人员的从业经验进行评审，从业经验平均时长≥3年的得</w:t>
            </w:r>
            <w:r>
              <w:rPr>
                <w:rFonts w:hint="eastAsia" w:ascii="宋体" w:hAnsi="宋体" w:cs="仿宋"/>
                <w:color w:val="auto"/>
                <w:szCs w:val="21"/>
                <w:lang w:val="en-US" w:eastAsia="zh-CN"/>
              </w:rPr>
              <w:t>1.5</w:t>
            </w:r>
            <w:r>
              <w:rPr>
                <w:rFonts w:hint="eastAsia" w:ascii="宋体" w:hAnsi="宋体" w:cs="仿宋"/>
                <w:color w:val="auto"/>
                <w:szCs w:val="21"/>
              </w:rPr>
              <w:t>分，具有医疗设备维修证件的得</w:t>
            </w:r>
            <w:r>
              <w:rPr>
                <w:rFonts w:hint="eastAsia" w:ascii="宋体" w:hAnsi="宋体" w:cs="仿宋"/>
                <w:color w:val="auto"/>
                <w:szCs w:val="21"/>
                <w:lang w:val="en-US" w:eastAsia="zh-CN"/>
              </w:rPr>
              <w:t>1.5</w:t>
            </w:r>
            <w:r>
              <w:rPr>
                <w:rFonts w:hint="eastAsia" w:ascii="宋体" w:hAnsi="宋体" w:cs="仿宋"/>
                <w:color w:val="auto"/>
                <w:szCs w:val="21"/>
              </w:rPr>
              <w:t>分。其余情况不得分，本项满分</w:t>
            </w:r>
            <w:r>
              <w:rPr>
                <w:rFonts w:hint="eastAsia" w:ascii="宋体" w:hAnsi="宋体" w:cs="仿宋"/>
                <w:color w:val="auto"/>
                <w:szCs w:val="21"/>
                <w:lang w:val="en-US" w:eastAsia="zh-CN"/>
              </w:rPr>
              <w:t>3</w:t>
            </w:r>
            <w:r>
              <w:rPr>
                <w:rFonts w:hint="eastAsia" w:ascii="宋体" w:hAnsi="宋体" w:cs="仿宋"/>
                <w:color w:val="auto"/>
                <w:szCs w:val="21"/>
              </w:rPr>
              <w:t>分。</w:t>
            </w:r>
          </w:p>
          <w:p>
            <w:pPr>
              <w:spacing w:line="400" w:lineRule="exact"/>
              <w:jc w:val="left"/>
              <w:rPr>
                <w:rFonts w:ascii="宋体" w:hAnsi="宋体" w:cs="仿宋"/>
                <w:color w:val="auto"/>
                <w:szCs w:val="21"/>
              </w:rPr>
            </w:pPr>
            <w:r>
              <w:rPr>
                <w:rFonts w:hint="eastAsia" w:ascii="宋体" w:hAnsi="宋体" w:cs="仿宋"/>
                <w:color w:val="auto"/>
                <w:szCs w:val="21"/>
              </w:rPr>
              <w:t>（2）从技术培训的频率（不低于2次）、培训效果保障措施2方面进行评审，技术培训的频率每年4次得</w:t>
            </w:r>
            <w:r>
              <w:rPr>
                <w:rFonts w:hint="eastAsia" w:ascii="宋体" w:hAnsi="宋体" w:cs="仿宋"/>
                <w:color w:val="auto"/>
                <w:szCs w:val="21"/>
                <w:lang w:val="en-US" w:eastAsia="zh-CN"/>
              </w:rPr>
              <w:t>1</w:t>
            </w:r>
            <w:r>
              <w:rPr>
                <w:rFonts w:hint="eastAsia" w:ascii="宋体" w:hAnsi="宋体" w:cs="仿宋"/>
                <w:color w:val="auto"/>
                <w:szCs w:val="21"/>
              </w:rPr>
              <w:t>分，有设计培训效果评分表的得</w:t>
            </w:r>
            <w:r>
              <w:rPr>
                <w:rFonts w:hint="eastAsia" w:ascii="宋体" w:hAnsi="宋体" w:cs="仿宋"/>
                <w:color w:val="auto"/>
                <w:szCs w:val="21"/>
                <w:lang w:val="en-US" w:eastAsia="zh-CN"/>
              </w:rPr>
              <w:t>1</w:t>
            </w:r>
            <w:r>
              <w:rPr>
                <w:rFonts w:hint="eastAsia" w:ascii="宋体" w:hAnsi="宋体" w:cs="仿宋"/>
                <w:color w:val="auto"/>
                <w:szCs w:val="21"/>
              </w:rPr>
              <w:t>分。其余情况不得分，本项满分</w:t>
            </w:r>
            <w:r>
              <w:rPr>
                <w:rFonts w:hint="eastAsia" w:ascii="宋体" w:hAnsi="宋体" w:cs="仿宋"/>
                <w:color w:val="auto"/>
                <w:szCs w:val="21"/>
                <w:lang w:val="en-US" w:eastAsia="zh-CN"/>
              </w:rPr>
              <w:t>2</w:t>
            </w:r>
            <w:r>
              <w:rPr>
                <w:rFonts w:hint="eastAsia" w:ascii="宋体" w:hAnsi="宋体" w:cs="仿宋"/>
                <w:color w:val="auto"/>
                <w:szCs w:val="21"/>
              </w:rPr>
              <w:t>分。</w:t>
            </w:r>
          </w:p>
          <w:p>
            <w:pPr>
              <w:spacing w:line="400" w:lineRule="exact"/>
              <w:jc w:val="left"/>
              <w:rPr>
                <w:rFonts w:ascii="宋体" w:hAnsi="宋体" w:cs="仿宋"/>
                <w:color w:val="auto"/>
                <w:szCs w:val="21"/>
              </w:rPr>
            </w:pPr>
            <w:r>
              <w:rPr>
                <w:rFonts w:hint="eastAsia" w:ascii="宋体" w:hAnsi="宋体" w:cs="仿宋"/>
                <w:color w:val="auto"/>
                <w:szCs w:val="21"/>
              </w:rPr>
              <w:t>（3）产品质量检查检测措施符合国家及行业最新标准的投标人，得</w:t>
            </w:r>
            <w:r>
              <w:rPr>
                <w:rFonts w:hint="eastAsia" w:ascii="宋体" w:hAnsi="宋体" w:cs="仿宋"/>
                <w:color w:val="auto"/>
                <w:szCs w:val="21"/>
                <w:lang w:val="en-US" w:eastAsia="zh-CN"/>
              </w:rPr>
              <w:t>2</w:t>
            </w:r>
            <w:r>
              <w:rPr>
                <w:rFonts w:hint="eastAsia" w:ascii="宋体" w:hAnsi="宋体" w:cs="仿宋"/>
                <w:color w:val="auto"/>
                <w:szCs w:val="21"/>
              </w:rPr>
              <w:t>分，其余情况本项不得分。本项满分</w:t>
            </w:r>
            <w:r>
              <w:rPr>
                <w:rFonts w:hint="eastAsia" w:ascii="宋体" w:hAnsi="宋体" w:cs="仿宋"/>
                <w:color w:val="auto"/>
                <w:szCs w:val="21"/>
                <w:lang w:val="en-US" w:eastAsia="zh-CN"/>
              </w:rPr>
              <w:t>2</w:t>
            </w:r>
            <w:r>
              <w:rPr>
                <w:rFonts w:hint="eastAsia" w:ascii="宋体" w:hAnsi="宋体" w:cs="仿宋"/>
                <w:color w:val="auto"/>
                <w:szCs w:val="21"/>
              </w:rPr>
              <w:t>分。</w:t>
            </w:r>
          </w:p>
          <w:p>
            <w:pPr>
              <w:spacing w:line="400" w:lineRule="exact"/>
              <w:jc w:val="left"/>
              <w:rPr>
                <w:rFonts w:ascii="宋体" w:hAnsi="宋体" w:cs="仿宋"/>
                <w:color w:val="auto"/>
                <w:szCs w:val="21"/>
              </w:rPr>
            </w:pPr>
            <w:r>
              <w:rPr>
                <w:rFonts w:hint="eastAsia" w:ascii="宋体" w:hAnsi="宋体" w:cs="仿宋"/>
                <w:color w:val="auto"/>
                <w:szCs w:val="21"/>
              </w:rPr>
              <w:t>（4）未提供或无法判断则不得分。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45" w:hRule="atLeast"/>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3</w:t>
            </w:r>
          </w:p>
        </w:tc>
        <w:tc>
          <w:tcPr>
            <w:tcW w:w="1143" w:type="dxa"/>
            <w:vAlign w:val="center"/>
          </w:tcPr>
          <w:p>
            <w:pPr>
              <w:spacing w:line="400" w:lineRule="exact"/>
              <w:jc w:val="center"/>
              <w:rPr>
                <w:rFonts w:ascii="宋体" w:hAnsi="宋体" w:cs="仿宋"/>
                <w:szCs w:val="21"/>
              </w:rPr>
            </w:pPr>
            <w:r>
              <w:rPr>
                <w:rFonts w:hint="eastAsia" w:ascii="宋体" w:hAnsi="宋体" w:cs="宋体"/>
                <w:kern w:val="0"/>
                <w:szCs w:val="21"/>
              </w:rPr>
              <w:t>售后服务方案</w:t>
            </w:r>
          </w:p>
        </w:tc>
        <w:tc>
          <w:tcPr>
            <w:tcW w:w="709" w:type="dxa"/>
            <w:vAlign w:val="center"/>
          </w:tcPr>
          <w:p>
            <w:pPr>
              <w:spacing w:line="400" w:lineRule="exact"/>
              <w:jc w:val="center"/>
              <w:rPr>
                <w:rFonts w:hint="eastAsia" w:ascii="宋体" w:hAnsi="宋体" w:eastAsia="宋体" w:cs="仿宋"/>
                <w:szCs w:val="21"/>
                <w:lang w:eastAsia="zh-CN"/>
              </w:rPr>
            </w:pPr>
            <w:r>
              <w:rPr>
                <w:rFonts w:hint="eastAsia" w:ascii="宋体" w:hAnsi="宋体" w:cs="仿宋"/>
                <w:kern w:val="0"/>
                <w:szCs w:val="21"/>
                <w:lang w:val="en-US" w:eastAsia="zh-CN"/>
              </w:rPr>
              <w:t>9</w:t>
            </w:r>
          </w:p>
        </w:tc>
        <w:tc>
          <w:tcPr>
            <w:tcW w:w="5953" w:type="dxa"/>
            <w:vAlign w:val="center"/>
          </w:tcPr>
          <w:p>
            <w:pPr>
              <w:spacing w:line="400" w:lineRule="exact"/>
              <w:jc w:val="left"/>
              <w:rPr>
                <w:rFonts w:ascii="宋体" w:hAnsi="宋体" w:cs="仿宋"/>
                <w:szCs w:val="21"/>
              </w:rPr>
            </w:pPr>
            <w:r>
              <w:rPr>
                <w:rFonts w:hint="eastAsia" w:ascii="宋体" w:hAnsi="宋体" w:cs="仿宋"/>
                <w:szCs w:val="21"/>
              </w:rPr>
              <w:t>（一）评分内容：</w:t>
            </w:r>
          </w:p>
          <w:p>
            <w:pPr>
              <w:spacing w:line="400" w:lineRule="exact"/>
              <w:jc w:val="left"/>
              <w:rPr>
                <w:rFonts w:ascii="宋体" w:hAnsi="宋体" w:cs="仿宋"/>
                <w:szCs w:val="21"/>
              </w:rPr>
            </w:pPr>
            <w:r>
              <w:rPr>
                <w:rFonts w:hint="eastAsia" w:ascii="宋体" w:hAnsi="宋体" w:cs="仿宋"/>
                <w:szCs w:val="21"/>
              </w:rPr>
              <w:t>投标人提供本项目售后服务方案，包括但不限于：售后服务机构及维护人员配置、故障响应时间、备品备件支持计划、软件升级、易损配件情况方面：</w:t>
            </w:r>
          </w:p>
          <w:p>
            <w:pPr>
              <w:spacing w:line="400" w:lineRule="exact"/>
              <w:jc w:val="left"/>
              <w:rPr>
                <w:rFonts w:ascii="宋体" w:hAnsi="宋体" w:cs="仿宋"/>
                <w:szCs w:val="21"/>
              </w:rPr>
            </w:pPr>
            <w:r>
              <w:rPr>
                <w:rFonts w:hint="eastAsia" w:ascii="宋体" w:hAnsi="宋体" w:cs="仿宋"/>
                <w:szCs w:val="21"/>
              </w:rPr>
              <w:t>（二）评分标准：</w:t>
            </w:r>
          </w:p>
          <w:p>
            <w:pPr>
              <w:spacing w:line="400" w:lineRule="exact"/>
              <w:jc w:val="left"/>
              <w:rPr>
                <w:rFonts w:ascii="宋体" w:hAnsi="宋体" w:cs="仿宋"/>
                <w:szCs w:val="21"/>
              </w:rPr>
            </w:pPr>
            <w:r>
              <w:rPr>
                <w:rFonts w:hint="eastAsia" w:ascii="宋体" w:hAnsi="宋体" w:cs="仿宋"/>
                <w:szCs w:val="21"/>
              </w:rPr>
              <w:t>提供上述全部内容</w:t>
            </w:r>
            <w:r>
              <w:rPr>
                <w:rFonts w:hint="eastAsia" w:ascii="宋体" w:hAnsi="宋体" w:cs="仿宋"/>
                <w:color w:val="auto"/>
                <w:szCs w:val="21"/>
              </w:rPr>
              <w:t>得1分，每缺少一项扣0.2分，</w:t>
            </w:r>
            <w:r>
              <w:rPr>
                <w:rFonts w:hint="eastAsia" w:ascii="宋体" w:hAnsi="宋体" w:cs="仿宋"/>
                <w:szCs w:val="21"/>
              </w:rPr>
              <w:t>扣完为止；提供至少包含上述全部内容要求的基础上进一步评审：</w:t>
            </w:r>
          </w:p>
          <w:p>
            <w:pPr>
              <w:spacing w:line="400" w:lineRule="exact"/>
              <w:jc w:val="left"/>
              <w:rPr>
                <w:rFonts w:ascii="宋体" w:hAnsi="宋体" w:cs="仿宋"/>
                <w:szCs w:val="21"/>
              </w:rPr>
            </w:pPr>
            <w:r>
              <w:rPr>
                <w:rFonts w:hint="eastAsia" w:ascii="宋体" w:hAnsi="宋体" w:cs="仿宋"/>
                <w:szCs w:val="21"/>
              </w:rPr>
              <w:t>（1）从售后服务机构配置合理性与完善性、维护人员（需属于技术团队中的人员）配置合理性进行评审：有厂家设置的专门售后服务机构的得</w:t>
            </w:r>
            <w:r>
              <w:rPr>
                <w:rFonts w:hint="eastAsia" w:ascii="宋体" w:hAnsi="宋体" w:cs="仿宋"/>
                <w:szCs w:val="21"/>
                <w:lang w:val="en-US" w:eastAsia="zh-CN"/>
              </w:rPr>
              <w:t>1</w:t>
            </w:r>
            <w:r>
              <w:rPr>
                <w:rFonts w:hint="eastAsia" w:ascii="宋体" w:hAnsi="宋体" w:cs="仿宋"/>
                <w:szCs w:val="21"/>
              </w:rPr>
              <w:t>分，有固定技术人员对接采购人的售后工程师的得</w:t>
            </w:r>
            <w:r>
              <w:rPr>
                <w:rFonts w:hint="eastAsia" w:ascii="宋体" w:hAnsi="宋体" w:cs="仿宋"/>
                <w:szCs w:val="21"/>
                <w:lang w:val="en-US" w:eastAsia="zh-CN"/>
              </w:rPr>
              <w:t>1</w:t>
            </w:r>
            <w:r>
              <w:rPr>
                <w:rFonts w:hint="eastAsia" w:ascii="宋体" w:hAnsi="宋体" w:cs="仿宋"/>
                <w:szCs w:val="21"/>
              </w:rPr>
              <w:t>分；本项总分</w:t>
            </w:r>
            <w:r>
              <w:rPr>
                <w:rFonts w:hint="eastAsia" w:ascii="宋体" w:hAnsi="宋体" w:cs="仿宋"/>
                <w:szCs w:val="21"/>
                <w:lang w:val="en-US" w:eastAsia="zh-CN"/>
              </w:rPr>
              <w:t>2</w:t>
            </w:r>
            <w:r>
              <w:rPr>
                <w:rFonts w:hint="eastAsia" w:ascii="宋体" w:hAnsi="宋体" w:cs="仿宋"/>
                <w:szCs w:val="21"/>
              </w:rPr>
              <w:t>分。</w:t>
            </w:r>
          </w:p>
          <w:p>
            <w:pPr>
              <w:spacing w:line="400" w:lineRule="exact"/>
              <w:jc w:val="left"/>
              <w:rPr>
                <w:rFonts w:ascii="宋体" w:hAnsi="宋体" w:cs="仿宋"/>
                <w:szCs w:val="21"/>
              </w:rPr>
            </w:pPr>
            <w:r>
              <w:rPr>
                <w:rFonts w:hint="eastAsia" w:ascii="宋体" w:hAnsi="宋体" w:cs="仿宋"/>
                <w:szCs w:val="21"/>
              </w:rPr>
              <w:t>（2）故障响应时间（最迟4小时派员到场，24小时排除消除故障）：响应时间半小时以内的得</w:t>
            </w:r>
            <w:r>
              <w:rPr>
                <w:rFonts w:hint="eastAsia" w:ascii="宋体" w:hAnsi="宋体" w:cs="仿宋"/>
                <w:szCs w:val="21"/>
                <w:lang w:val="en-US" w:eastAsia="zh-CN"/>
              </w:rPr>
              <w:t>1</w:t>
            </w:r>
            <w:r>
              <w:rPr>
                <w:rFonts w:hint="eastAsia" w:ascii="宋体" w:hAnsi="宋体" w:cs="仿宋"/>
                <w:szCs w:val="21"/>
              </w:rPr>
              <w:t>分，1小时以内的得0.5分，其余情况本项不得分；本项总分</w:t>
            </w:r>
            <w:r>
              <w:rPr>
                <w:rFonts w:hint="eastAsia" w:ascii="宋体" w:hAnsi="宋体" w:cs="仿宋"/>
                <w:szCs w:val="21"/>
                <w:lang w:val="en-US" w:eastAsia="zh-CN"/>
              </w:rPr>
              <w:t>1</w:t>
            </w:r>
            <w:r>
              <w:rPr>
                <w:rFonts w:hint="eastAsia" w:ascii="宋体" w:hAnsi="宋体" w:cs="仿宋"/>
                <w:szCs w:val="21"/>
              </w:rPr>
              <w:t>分。</w:t>
            </w:r>
          </w:p>
          <w:p>
            <w:pPr>
              <w:spacing w:line="400" w:lineRule="exact"/>
              <w:jc w:val="left"/>
              <w:rPr>
                <w:rFonts w:ascii="宋体" w:hAnsi="宋体" w:cs="仿宋"/>
                <w:szCs w:val="21"/>
              </w:rPr>
            </w:pPr>
            <w:r>
              <w:rPr>
                <w:rFonts w:hint="eastAsia" w:ascii="宋体" w:hAnsi="宋体" w:cs="仿宋"/>
                <w:szCs w:val="21"/>
              </w:rPr>
              <w:t>（3）从备品备件支持计划所涵盖的全面性，可行性进行评审，列明的备品备件清单数量≥5个的得</w:t>
            </w:r>
            <w:r>
              <w:rPr>
                <w:rFonts w:hint="eastAsia" w:ascii="宋体" w:hAnsi="宋体" w:cs="仿宋"/>
                <w:szCs w:val="21"/>
                <w:lang w:val="en-US" w:eastAsia="zh-CN"/>
              </w:rPr>
              <w:t>1</w:t>
            </w:r>
            <w:r>
              <w:rPr>
                <w:rFonts w:hint="eastAsia" w:ascii="宋体" w:hAnsi="宋体" w:cs="仿宋"/>
                <w:szCs w:val="21"/>
              </w:rPr>
              <w:t>分，备品配件半小时内到位的得</w:t>
            </w:r>
            <w:r>
              <w:rPr>
                <w:rFonts w:hint="eastAsia" w:ascii="宋体" w:hAnsi="宋体" w:cs="仿宋"/>
                <w:szCs w:val="21"/>
                <w:lang w:val="en-US" w:eastAsia="zh-CN"/>
              </w:rPr>
              <w:t>1</w:t>
            </w:r>
            <w:r>
              <w:rPr>
                <w:rFonts w:hint="eastAsia" w:ascii="宋体" w:hAnsi="宋体" w:cs="仿宋"/>
                <w:szCs w:val="21"/>
              </w:rPr>
              <w:t>分；其余情况本项不得分。本项总分</w:t>
            </w:r>
            <w:r>
              <w:rPr>
                <w:rFonts w:hint="eastAsia" w:ascii="宋体" w:hAnsi="宋体" w:cs="仿宋"/>
                <w:szCs w:val="21"/>
                <w:lang w:val="en-US" w:eastAsia="zh-CN"/>
              </w:rPr>
              <w:t>2</w:t>
            </w:r>
            <w:r>
              <w:rPr>
                <w:rFonts w:hint="eastAsia" w:ascii="宋体" w:hAnsi="宋体" w:cs="仿宋"/>
                <w:szCs w:val="21"/>
              </w:rPr>
              <w:t>分。</w:t>
            </w:r>
          </w:p>
          <w:p>
            <w:pPr>
              <w:spacing w:line="400" w:lineRule="exact"/>
              <w:jc w:val="left"/>
              <w:rPr>
                <w:rFonts w:ascii="宋体" w:hAnsi="宋体" w:cs="仿宋"/>
                <w:szCs w:val="21"/>
              </w:rPr>
            </w:pPr>
            <w:r>
              <w:rPr>
                <w:rFonts w:hint="eastAsia" w:ascii="宋体" w:hAnsi="宋体" w:cs="仿宋"/>
                <w:szCs w:val="21"/>
              </w:rPr>
              <w:t>（4）软件升级计划的合理性、完善性、时效性进行评审：有每年的定期升级或维护计划的得</w:t>
            </w:r>
            <w:r>
              <w:rPr>
                <w:rFonts w:hint="eastAsia" w:ascii="宋体" w:hAnsi="宋体" w:cs="仿宋"/>
                <w:szCs w:val="21"/>
                <w:lang w:val="en-US" w:eastAsia="zh-CN"/>
              </w:rPr>
              <w:t>1</w:t>
            </w:r>
            <w:r>
              <w:rPr>
                <w:rFonts w:hint="eastAsia" w:ascii="宋体" w:hAnsi="宋体" w:cs="仿宋"/>
                <w:szCs w:val="21"/>
              </w:rPr>
              <w:t>分；本项总分</w:t>
            </w:r>
            <w:r>
              <w:rPr>
                <w:rFonts w:hint="eastAsia" w:ascii="宋体" w:hAnsi="宋体" w:cs="仿宋"/>
                <w:szCs w:val="21"/>
                <w:lang w:val="en-US" w:eastAsia="zh-CN"/>
              </w:rPr>
              <w:t>1</w:t>
            </w:r>
            <w:r>
              <w:rPr>
                <w:rFonts w:hint="eastAsia" w:ascii="宋体" w:hAnsi="宋体" w:cs="仿宋"/>
                <w:szCs w:val="21"/>
              </w:rPr>
              <w:t>分。</w:t>
            </w:r>
          </w:p>
          <w:p>
            <w:pPr>
              <w:spacing w:line="400" w:lineRule="exact"/>
              <w:jc w:val="left"/>
              <w:rPr>
                <w:rFonts w:ascii="宋体" w:hAnsi="宋体" w:cs="仿宋"/>
                <w:szCs w:val="21"/>
              </w:rPr>
            </w:pPr>
            <w:r>
              <w:rPr>
                <w:rFonts w:hint="eastAsia" w:ascii="宋体" w:hAnsi="宋体" w:cs="仿宋"/>
                <w:szCs w:val="21"/>
              </w:rPr>
              <w:t>（5）易损配件情况：根据投标人提供的《主要易损配件维修初步报价单》，易损配件维修合计价格最低的得</w:t>
            </w:r>
            <w:r>
              <w:rPr>
                <w:rFonts w:hint="eastAsia" w:ascii="宋体" w:hAnsi="宋体" w:cs="仿宋"/>
                <w:szCs w:val="21"/>
                <w:lang w:val="en-US" w:eastAsia="zh-CN"/>
              </w:rPr>
              <w:t>1</w:t>
            </w:r>
            <w:r>
              <w:rPr>
                <w:rFonts w:hint="eastAsia" w:ascii="宋体" w:hAnsi="宋体" w:cs="仿宋"/>
                <w:szCs w:val="21"/>
              </w:rPr>
              <w:t>分，维修周期最短的，得</w:t>
            </w:r>
            <w:r>
              <w:rPr>
                <w:rFonts w:hint="eastAsia" w:ascii="宋体" w:hAnsi="宋体" w:cs="仿宋"/>
                <w:color w:val="auto"/>
                <w:szCs w:val="21"/>
                <w:lang w:val="en-US" w:eastAsia="zh-CN"/>
              </w:rPr>
              <w:t>1</w:t>
            </w:r>
            <w:r>
              <w:rPr>
                <w:rFonts w:hint="eastAsia" w:ascii="宋体" w:hAnsi="宋体" w:cs="仿宋"/>
                <w:color w:val="auto"/>
                <w:szCs w:val="21"/>
              </w:rPr>
              <w:t>分</w:t>
            </w:r>
            <w:r>
              <w:rPr>
                <w:rFonts w:hint="eastAsia" w:ascii="宋体" w:hAnsi="宋体" w:cs="仿宋"/>
                <w:szCs w:val="21"/>
              </w:rPr>
              <w:t>。其余情况不得分，本项总分</w:t>
            </w:r>
            <w:r>
              <w:rPr>
                <w:rFonts w:hint="eastAsia" w:ascii="宋体" w:hAnsi="宋体" w:cs="仿宋"/>
                <w:szCs w:val="21"/>
                <w:lang w:val="en-US" w:eastAsia="zh-CN"/>
              </w:rPr>
              <w:t>2</w:t>
            </w:r>
            <w:r>
              <w:rPr>
                <w:rFonts w:hint="eastAsia" w:ascii="宋体" w:hAnsi="宋体" w:cs="仿宋"/>
                <w:szCs w:val="21"/>
              </w:rPr>
              <w:t>分。</w:t>
            </w:r>
          </w:p>
          <w:p>
            <w:pPr>
              <w:spacing w:line="400" w:lineRule="exact"/>
              <w:jc w:val="left"/>
              <w:rPr>
                <w:rFonts w:ascii="宋体" w:hAnsi="宋体" w:cs="仿宋"/>
                <w:szCs w:val="21"/>
              </w:rPr>
            </w:pPr>
            <w:r>
              <w:rPr>
                <w:rFonts w:hint="eastAsia" w:ascii="宋体" w:hAnsi="宋体" w:cs="仿宋"/>
                <w:szCs w:val="21"/>
              </w:rPr>
              <w:t>（6）未提供或无法判断则不得分。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45" w:hRule="atLeast"/>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4</w:t>
            </w:r>
          </w:p>
        </w:tc>
        <w:tc>
          <w:tcPr>
            <w:tcW w:w="1143" w:type="dxa"/>
            <w:vAlign w:val="center"/>
          </w:tcPr>
          <w:p>
            <w:pPr>
              <w:spacing w:line="400" w:lineRule="exact"/>
              <w:jc w:val="center"/>
              <w:rPr>
                <w:rFonts w:ascii="宋体" w:hAnsi="宋体" w:cs="宋体"/>
                <w:szCs w:val="21"/>
              </w:rPr>
            </w:pPr>
            <w:r>
              <w:rPr>
                <w:rFonts w:hint="eastAsia" w:ascii="宋体" w:hAnsi="宋体" w:cs="宋体"/>
                <w:kern w:val="0"/>
                <w:szCs w:val="21"/>
              </w:rPr>
              <w:t>设备生命周期及维护成本</w:t>
            </w:r>
          </w:p>
        </w:tc>
        <w:tc>
          <w:tcPr>
            <w:tcW w:w="709" w:type="dxa"/>
            <w:vAlign w:val="center"/>
          </w:tcPr>
          <w:p>
            <w:pPr>
              <w:spacing w:line="400" w:lineRule="exact"/>
              <w:jc w:val="center"/>
              <w:rPr>
                <w:rFonts w:hint="eastAsia" w:ascii="宋体" w:hAnsi="宋体" w:eastAsia="宋体" w:cs="仿宋"/>
                <w:szCs w:val="21"/>
                <w:lang w:eastAsia="zh-CN"/>
              </w:rPr>
            </w:pPr>
            <w:r>
              <w:rPr>
                <w:rFonts w:hint="eastAsia" w:ascii="宋体" w:hAnsi="宋体" w:cs="仿宋"/>
                <w:szCs w:val="21"/>
                <w:lang w:val="en-US" w:eastAsia="zh-CN"/>
              </w:rPr>
              <w:t>6</w:t>
            </w:r>
          </w:p>
        </w:tc>
        <w:tc>
          <w:tcPr>
            <w:tcW w:w="5953" w:type="dxa"/>
            <w:vAlign w:val="center"/>
          </w:tcPr>
          <w:p>
            <w:pPr>
              <w:spacing w:line="400" w:lineRule="exact"/>
              <w:jc w:val="left"/>
              <w:rPr>
                <w:rFonts w:ascii="宋体" w:hAnsi="宋体" w:cs="仿宋"/>
                <w:szCs w:val="21"/>
              </w:rPr>
            </w:pPr>
            <w:r>
              <w:rPr>
                <w:rFonts w:hint="eastAsia" w:ascii="宋体" w:hAnsi="宋体" w:cs="仿宋"/>
                <w:szCs w:val="21"/>
              </w:rPr>
              <w:t>（一）评分内容：</w:t>
            </w:r>
          </w:p>
          <w:p>
            <w:pPr>
              <w:spacing w:line="400" w:lineRule="exact"/>
              <w:jc w:val="left"/>
              <w:rPr>
                <w:rFonts w:ascii="宋体" w:hAnsi="宋体" w:cs="仿宋"/>
                <w:szCs w:val="21"/>
              </w:rPr>
            </w:pPr>
            <w:r>
              <w:rPr>
                <w:rFonts w:hint="eastAsia" w:ascii="宋体" w:hAnsi="宋体" w:cs="仿宋"/>
                <w:szCs w:val="21"/>
              </w:rPr>
              <w:t>（1）投标人提供所投产品的出厂标签或者厂家技术说明书关于设备使用年限描述；</w:t>
            </w:r>
          </w:p>
          <w:p>
            <w:pPr>
              <w:spacing w:line="400" w:lineRule="exact"/>
              <w:jc w:val="left"/>
              <w:rPr>
                <w:rFonts w:ascii="宋体" w:hAnsi="宋体" w:cs="仿宋"/>
                <w:szCs w:val="21"/>
              </w:rPr>
            </w:pPr>
            <w:r>
              <w:rPr>
                <w:rFonts w:hint="eastAsia" w:ascii="宋体" w:hAnsi="宋体" w:cs="仿宋"/>
                <w:szCs w:val="21"/>
              </w:rPr>
              <w:t>（2）所投产品的质保期满后的每年维保成本情况。</w:t>
            </w:r>
          </w:p>
          <w:p>
            <w:pPr>
              <w:spacing w:line="400" w:lineRule="exact"/>
              <w:jc w:val="left"/>
              <w:rPr>
                <w:rFonts w:ascii="宋体" w:hAnsi="宋体" w:cs="仿宋"/>
                <w:szCs w:val="21"/>
              </w:rPr>
            </w:pPr>
            <w:r>
              <w:rPr>
                <w:rFonts w:hint="eastAsia" w:ascii="宋体" w:hAnsi="宋体" w:cs="仿宋"/>
                <w:szCs w:val="21"/>
              </w:rPr>
              <w:t>（二）评分标准：</w:t>
            </w:r>
          </w:p>
          <w:p>
            <w:pPr>
              <w:spacing w:line="400" w:lineRule="exact"/>
              <w:jc w:val="left"/>
              <w:rPr>
                <w:rFonts w:ascii="宋体" w:hAnsi="宋体" w:cs="仿宋"/>
                <w:szCs w:val="21"/>
              </w:rPr>
            </w:pPr>
            <w:r>
              <w:rPr>
                <w:rFonts w:hint="eastAsia" w:ascii="宋体" w:hAnsi="宋体" w:cs="仿宋"/>
                <w:szCs w:val="21"/>
              </w:rPr>
              <w:t>提供上述全部2项内容得2分；在满足以上要求的基础上进一步评审：</w:t>
            </w:r>
          </w:p>
          <w:p>
            <w:pPr>
              <w:spacing w:line="400" w:lineRule="exact"/>
              <w:jc w:val="left"/>
              <w:rPr>
                <w:rFonts w:ascii="宋体" w:hAnsi="宋体" w:cs="仿宋"/>
                <w:szCs w:val="21"/>
              </w:rPr>
            </w:pPr>
            <w:r>
              <w:rPr>
                <w:rFonts w:hint="eastAsia" w:ascii="宋体" w:hAnsi="宋体" w:cs="仿宋"/>
                <w:szCs w:val="21"/>
              </w:rPr>
              <w:t>（1）设备使用年限≥7年的加</w:t>
            </w:r>
            <w:r>
              <w:rPr>
                <w:rFonts w:hint="eastAsia" w:ascii="宋体" w:hAnsi="宋体" w:cs="仿宋"/>
                <w:szCs w:val="21"/>
                <w:lang w:val="en-US" w:eastAsia="zh-CN"/>
              </w:rPr>
              <w:t>2</w:t>
            </w:r>
            <w:r>
              <w:rPr>
                <w:rFonts w:hint="eastAsia" w:ascii="宋体" w:hAnsi="宋体" w:cs="仿宋"/>
                <w:szCs w:val="21"/>
              </w:rPr>
              <w:t>分，其它不加分。</w:t>
            </w:r>
          </w:p>
          <w:p>
            <w:pPr>
              <w:spacing w:line="400" w:lineRule="exact"/>
              <w:jc w:val="left"/>
              <w:rPr>
                <w:rFonts w:ascii="宋体" w:hAnsi="宋体" w:cs="仿宋"/>
                <w:szCs w:val="21"/>
              </w:rPr>
            </w:pPr>
            <w:r>
              <w:rPr>
                <w:rFonts w:hint="eastAsia" w:ascii="宋体" w:hAnsi="宋体" w:cs="仿宋"/>
                <w:szCs w:val="21"/>
              </w:rPr>
              <w:t>（2）根据投标人《延续整机原厂维保服务报价单》，将所投产品的质保期满后的每年维保成本由低到高进行排列，最低加</w:t>
            </w:r>
            <w:r>
              <w:rPr>
                <w:rFonts w:hint="eastAsia" w:ascii="宋体" w:hAnsi="宋体" w:cs="仿宋"/>
                <w:szCs w:val="21"/>
                <w:lang w:val="en-US" w:eastAsia="zh-CN"/>
              </w:rPr>
              <w:t>2</w:t>
            </w:r>
            <w:r>
              <w:rPr>
                <w:rFonts w:hint="eastAsia" w:ascii="宋体" w:hAnsi="宋体" w:cs="仿宋"/>
                <w:szCs w:val="21"/>
              </w:rPr>
              <w:t>分，其它不加分。</w:t>
            </w:r>
          </w:p>
          <w:p>
            <w:pPr>
              <w:spacing w:line="400" w:lineRule="exact"/>
              <w:jc w:val="left"/>
              <w:rPr>
                <w:rFonts w:ascii="宋体" w:hAnsi="宋体" w:cs="仿宋"/>
                <w:szCs w:val="21"/>
              </w:rPr>
            </w:pPr>
            <w:r>
              <w:rPr>
                <w:rFonts w:hint="eastAsia" w:ascii="宋体" w:hAnsi="宋体" w:cs="仿宋"/>
                <w:szCs w:val="21"/>
              </w:rPr>
              <w:t>未提供或无法判断则不得分。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45" w:hRule="atLeast"/>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5</w:t>
            </w:r>
          </w:p>
        </w:tc>
        <w:tc>
          <w:tcPr>
            <w:tcW w:w="1143" w:type="dxa"/>
            <w:vAlign w:val="center"/>
          </w:tcPr>
          <w:p>
            <w:pPr>
              <w:spacing w:line="400" w:lineRule="exact"/>
              <w:jc w:val="center"/>
              <w:rPr>
                <w:rFonts w:ascii="宋体" w:hAnsi="宋体" w:cs="宋体"/>
                <w:kern w:val="0"/>
                <w:szCs w:val="21"/>
              </w:rPr>
            </w:pPr>
            <w:r>
              <w:rPr>
                <w:rFonts w:hint="eastAsia" w:ascii="宋体" w:hAnsi="宋体"/>
                <w:szCs w:val="21"/>
              </w:rPr>
              <w:t>节能环保</w:t>
            </w:r>
          </w:p>
        </w:tc>
        <w:tc>
          <w:tcPr>
            <w:tcW w:w="709" w:type="dxa"/>
            <w:vAlign w:val="center"/>
          </w:tcPr>
          <w:p>
            <w:pPr>
              <w:widowControl/>
              <w:wordWrap w:val="0"/>
              <w:spacing w:line="400" w:lineRule="exact"/>
              <w:jc w:val="center"/>
              <w:textAlignment w:val="top"/>
              <w:rPr>
                <w:rFonts w:ascii="宋体" w:hAnsi="宋体" w:cs="仿宋"/>
                <w:szCs w:val="21"/>
              </w:rPr>
            </w:pPr>
            <w:r>
              <w:rPr>
                <w:rFonts w:hint="eastAsia" w:ascii="宋体" w:hAnsi="宋体" w:cs="宋体"/>
                <w:szCs w:val="21"/>
              </w:rPr>
              <w:t>1</w:t>
            </w:r>
          </w:p>
        </w:tc>
        <w:tc>
          <w:tcPr>
            <w:tcW w:w="5953" w:type="dxa"/>
          </w:tcPr>
          <w:p>
            <w:pPr>
              <w:pStyle w:val="32"/>
              <w:pBdr>
                <w:bottom w:val="none" w:color="auto" w:sz="0" w:space="0"/>
              </w:pBdr>
              <w:tabs>
                <w:tab w:val="clear" w:pos="4153"/>
                <w:tab w:val="clear" w:pos="8306"/>
              </w:tabs>
              <w:spacing w:line="400" w:lineRule="exact"/>
              <w:jc w:val="left"/>
              <w:rPr>
                <w:rFonts w:ascii="宋体" w:hAnsi="宋体" w:cs="宋体"/>
                <w:sz w:val="21"/>
                <w:szCs w:val="21"/>
              </w:rPr>
            </w:pPr>
            <w:r>
              <w:rPr>
                <w:rFonts w:hint="eastAsia" w:ascii="宋体" w:hAnsi="宋体" w:cs="宋体"/>
                <w:sz w:val="21"/>
                <w:szCs w:val="21"/>
              </w:rPr>
              <w:t>供应商所投产品获得相关节能、环保产品认证情况：</w:t>
            </w:r>
          </w:p>
          <w:p>
            <w:pPr>
              <w:pStyle w:val="32"/>
              <w:pBdr>
                <w:bottom w:val="none" w:color="auto" w:sz="0" w:space="0"/>
              </w:pBdr>
              <w:tabs>
                <w:tab w:val="clear" w:pos="4153"/>
                <w:tab w:val="clear" w:pos="8306"/>
              </w:tabs>
              <w:spacing w:line="400" w:lineRule="exact"/>
              <w:jc w:val="left"/>
              <w:rPr>
                <w:rFonts w:ascii="宋体" w:hAnsi="宋体" w:cs="宋体"/>
                <w:sz w:val="21"/>
                <w:szCs w:val="21"/>
              </w:rPr>
            </w:pPr>
            <w:r>
              <w:rPr>
                <w:rFonts w:hint="eastAsia" w:ascii="宋体" w:hAnsi="宋体" w:cs="宋体"/>
                <w:sz w:val="21"/>
                <w:szCs w:val="21"/>
              </w:rPr>
              <w:t>（1）节能产品：投标产品属于财政部和国家发改委最新公布的节能产品政府采购品目清单的，需提供市场监管总局发布参与实施政府采购节能产品、环境标志产品认证机构出具的认证证书复印件或扫描件加盖投标人公章，且在有效截止日期内，得0.5分；否则0分。</w:t>
            </w:r>
          </w:p>
          <w:p>
            <w:pPr>
              <w:pStyle w:val="32"/>
              <w:pBdr>
                <w:bottom w:val="none" w:color="auto" w:sz="0" w:space="0"/>
              </w:pBdr>
              <w:tabs>
                <w:tab w:val="clear" w:pos="4153"/>
                <w:tab w:val="clear" w:pos="8306"/>
              </w:tabs>
              <w:spacing w:line="400" w:lineRule="exact"/>
              <w:jc w:val="left"/>
              <w:rPr>
                <w:rFonts w:ascii="宋体" w:hAnsi="宋体"/>
                <w:bCs/>
                <w:szCs w:val="21"/>
              </w:rPr>
            </w:pPr>
            <w:r>
              <w:rPr>
                <w:rFonts w:hint="eastAsia" w:ascii="宋体" w:hAnsi="宋体" w:cs="宋体"/>
                <w:sz w:val="21"/>
                <w:szCs w:val="21"/>
              </w:rPr>
              <w:t>（2）环境标志产品：投标产品属于财政部和生态环境部最新公布的环境标志产品政府采购品目清单的，投标人需提供市场监管总局发布参与实施政府采购节能产品、环境标志产品认证机构出具的认证证书复印件或扫描件加盖投标人公章，且在有效截止日期内，得0.5分；否则0分。</w:t>
            </w:r>
          </w:p>
        </w:tc>
        <w:tc>
          <w:tcPr>
            <w:tcW w:w="1187" w:type="dxa"/>
            <w:vAlign w:val="center"/>
          </w:tcPr>
          <w:p>
            <w:pPr>
              <w:spacing w:line="40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37" w:hRule="atLeast"/>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400" w:lineRule="exact"/>
              <w:jc w:val="center"/>
              <w:textAlignment w:val="top"/>
              <w:rPr>
                <w:rFonts w:ascii="宋体" w:hAnsi="宋体" w:cs="仿宋"/>
                <w:szCs w:val="21"/>
                <w:highlight w:val="yellow"/>
              </w:rPr>
            </w:pPr>
            <w:r>
              <w:rPr>
                <w:rFonts w:ascii="宋体" w:hAnsi="宋体" w:cs="宋体"/>
                <w:kern w:val="0"/>
                <w:szCs w:val="21"/>
              </w:rPr>
              <w:t>有效业绩</w:t>
            </w:r>
          </w:p>
        </w:tc>
        <w:tc>
          <w:tcPr>
            <w:tcW w:w="709" w:type="dxa"/>
            <w:vAlign w:val="center"/>
          </w:tcPr>
          <w:p>
            <w:pPr>
              <w:widowControl/>
              <w:spacing w:line="400" w:lineRule="exact"/>
              <w:jc w:val="center"/>
              <w:textAlignment w:val="top"/>
              <w:rPr>
                <w:rFonts w:ascii="宋体" w:hAnsi="宋体" w:cs="仿宋"/>
                <w:szCs w:val="21"/>
                <w:highlight w:val="yellow"/>
              </w:rPr>
            </w:pPr>
            <w:r>
              <w:rPr>
                <w:rFonts w:hint="eastAsia" w:ascii="宋体" w:hAnsi="宋体" w:cs="宋体"/>
                <w:szCs w:val="21"/>
              </w:rPr>
              <w:t>8</w:t>
            </w:r>
          </w:p>
        </w:tc>
        <w:tc>
          <w:tcPr>
            <w:tcW w:w="5953" w:type="dxa"/>
            <w:vAlign w:val="center"/>
          </w:tcPr>
          <w:p>
            <w:pPr>
              <w:tabs>
                <w:tab w:val="left" w:pos="175"/>
              </w:tabs>
              <w:spacing w:line="400" w:lineRule="exact"/>
              <w:ind w:left="33"/>
              <w:jc w:val="left"/>
              <w:rPr>
                <w:rFonts w:ascii="宋体" w:hAnsi="宋体" w:cs="仿宋"/>
                <w:szCs w:val="21"/>
              </w:rPr>
            </w:pPr>
            <w:r>
              <w:rPr>
                <w:rFonts w:hint="eastAsia" w:ascii="宋体" w:hAnsi="宋体" w:cs="仿宋"/>
                <w:szCs w:val="21"/>
              </w:rPr>
              <w:t>（一）评分内容：</w:t>
            </w:r>
            <w:r>
              <w:rPr>
                <w:rFonts w:hint="eastAsia" w:ascii="宋体" w:hAnsi="宋体" w:cs="仿宋"/>
                <w:szCs w:val="21"/>
              </w:rPr>
              <w:br w:type="textWrapping"/>
            </w:r>
            <w:r>
              <w:rPr>
                <w:rFonts w:hint="eastAsia" w:ascii="宋体" w:hAnsi="宋体" w:cs="仿宋"/>
                <w:szCs w:val="21"/>
              </w:rPr>
              <w:t>投标人提供1项有效业绩的，得2分；以此类推，最高不超过8分。</w:t>
            </w:r>
          </w:p>
          <w:p>
            <w:pPr>
              <w:tabs>
                <w:tab w:val="left" w:pos="175"/>
              </w:tabs>
              <w:spacing w:line="400" w:lineRule="exact"/>
              <w:ind w:left="33"/>
              <w:jc w:val="left"/>
              <w:rPr>
                <w:rFonts w:ascii="宋体" w:hAnsi="宋体" w:cs="仿宋"/>
                <w:szCs w:val="21"/>
              </w:rPr>
            </w:pPr>
            <w:r>
              <w:rPr>
                <w:rFonts w:hint="eastAsia" w:ascii="宋体" w:hAnsi="宋体" w:cs="仿宋"/>
                <w:szCs w:val="21"/>
              </w:rPr>
              <w:t>不提供或者不能有效证明的，得0分。</w:t>
            </w:r>
          </w:p>
          <w:p>
            <w:pPr>
              <w:tabs>
                <w:tab w:val="left" w:pos="175"/>
              </w:tabs>
              <w:spacing w:line="400" w:lineRule="exact"/>
              <w:ind w:left="33"/>
              <w:jc w:val="left"/>
              <w:rPr>
                <w:rFonts w:ascii="宋体" w:hAnsi="宋体" w:cs="仿宋"/>
                <w:szCs w:val="21"/>
              </w:rPr>
            </w:pPr>
            <w:r>
              <w:rPr>
                <w:rFonts w:hint="eastAsia" w:ascii="宋体" w:hAnsi="宋体" w:cs="仿宋"/>
                <w:szCs w:val="21"/>
              </w:rPr>
              <w:t>有效业绩定义：（同时满足以下全部要求同类业绩才属于有效业绩）</w:t>
            </w:r>
          </w:p>
          <w:p>
            <w:pPr>
              <w:tabs>
                <w:tab w:val="left" w:pos="175"/>
              </w:tabs>
              <w:spacing w:line="400" w:lineRule="exact"/>
              <w:ind w:left="33"/>
              <w:jc w:val="left"/>
              <w:rPr>
                <w:rFonts w:ascii="宋体" w:hAnsi="宋体" w:cs="仿宋"/>
                <w:szCs w:val="21"/>
              </w:rPr>
            </w:pPr>
            <w:r>
              <w:rPr>
                <w:rFonts w:hint="eastAsia" w:ascii="宋体" w:hAnsi="宋体" w:cs="仿宋"/>
                <w:szCs w:val="21"/>
              </w:rPr>
              <w:t>1）为投标人所承接的项目。</w:t>
            </w:r>
          </w:p>
          <w:p>
            <w:pPr>
              <w:tabs>
                <w:tab w:val="left" w:pos="175"/>
              </w:tabs>
              <w:spacing w:line="400" w:lineRule="exact"/>
              <w:ind w:left="33"/>
              <w:jc w:val="left"/>
              <w:rPr>
                <w:rFonts w:ascii="宋体" w:hAnsi="宋体" w:cs="仿宋"/>
                <w:szCs w:val="21"/>
              </w:rPr>
            </w:pPr>
            <w:r>
              <w:rPr>
                <w:rFonts w:hint="eastAsia" w:ascii="宋体" w:hAnsi="宋体" w:cs="仿宋"/>
                <w:szCs w:val="21"/>
              </w:rPr>
              <w:t>2）同类业绩指：所投产品同品牌型号的设备</w:t>
            </w:r>
          </w:p>
          <w:p>
            <w:pPr>
              <w:tabs>
                <w:tab w:val="left" w:pos="175"/>
              </w:tabs>
              <w:spacing w:line="400" w:lineRule="exact"/>
              <w:ind w:left="33"/>
              <w:jc w:val="left"/>
              <w:rPr>
                <w:rFonts w:ascii="宋体" w:hAnsi="宋体" w:cs="仿宋"/>
                <w:szCs w:val="21"/>
              </w:rPr>
            </w:pPr>
            <w:r>
              <w:rPr>
                <w:rFonts w:hint="eastAsia" w:ascii="宋体" w:hAnsi="宋体" w:cs="仿宋"/>
                <w:szCs w:val="21"/>
              </w:rPr>
              <w:t>3) 合同签订时间为2019年6月1日至投标截止时间前。</w:t>
            </w:r>
          </w:p>
          <w:p>
            <w:pPr>
              <w:tabs>
                <w:tab w:val="left" w:pos="175"/>
              </w:tabs>
              <w:spacing w:line="400" w:lineRule="exact"/>
              <w:ind w:left="33"/>
              <w:jc w:val="left"/>
              <w:rPr>
                <w:rFonts w:ascii="宋体" w:hAnsi="宋体" w:cs="仿宋"/>
                <w:szCs w:val="21"/>
              </w:rPr>
            </w:pPr>
            <w:r>
              <w:rPr>
                <w:rFonts w:hint="eastAsia" w:ascii="宋体" w:hAnsi="宋体" w:cs="仿宋"/>
                <w:szCs w:val="21"/>
              </w:rPr>
              <w:t>（二）证明文件：</w:t>
            </w:r>
          </w:p>
          <w:p>
            <w:pPr>
              <w:tabs>
                <w:tab w:val="left" w:pos="175"/>
              </w:tabs>
              <w:spacing w:line="400" w:lineRule="exact"/>
              <w:ind w:left="33"/>
              <w:jc w:val="left"/>
              <w:rPr>
                <w:rFonts w:ascii="宋体" w:hAnsi="宋体" w:cs="宋体"/>
                <w:bCs/>
                <w:kern w:val="0"/>
                <w:szCs w:val="21"/>
                <w:highlight w:val="yellow"/>
              </w:rPr>
            </w:pPr>
            <w:r>
              <w:rPr>
                <w:rFonts w:hint="eastAsia" w:ascii="宋体" w:hAnsi="宋体" w:cs="仿宋"/>
                <w:szCs w:val="21"/>
              </w:rPr>
              <w:t>投标人需提供合同关键信息（首页、体现采购内容页、签字盖章页、签订时间页）复印件或扫描件加盖投标人公章,未提供不得分。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37" w:hRule="atLeast"/>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spacing w:line="400" w:lineRule="exact"/>
              <w:jc w:val="center"/>
              <w:rPr>
                <w:rFonts w:ascii="宋体" w:hAnsi="宋体" w:cs="仿宋"/>
                <w:szCs w:val="21"/>
                <w:highlight w:val="yellow"/>
              </w:rPr>
            </w:pPr>
            <w:r>
              <w:rPr>
                <w:rFonts w:hint="eastAsia" w:ascii="宋体" w:hAnsi="宋体" w:cs="仿宋"/>
                <w:szCs w:val="21"/>
              </w:rPr>
              <w:t>诚信评审</w:t>
            </w:r>
          </w:p>
        </w:tc>
        <w:tc>
          <w:tcPr>
            <w:tcW w:w="709" w:type="dxa"/>
            <w:vAlign w:val="center"/>
          </w:tcPr>
          <w:p>
            <w:pPr>
              <w:spacing w:line="400" w:lineRule="exact"/>
              <w:jc w:val="center"/>
              <w:rPr>
                <w:rFonts w:ascii="宋体" w:hAnsi="宋体" w:cs="仿宋"/>
                <w:szCs w:val="21"/>
                <w:highlight w:val="yellow"/>
              </w:rPr>
            </w:pPr>
            <w:r>
              <w:rPr>
                <w:rFonts w:hint="eastAsia" w:ascii="宋体" w:hAnsi="宋体" w:cs="仿宋"/>
                <w:szCs w:val="21"/>
              </w:rPr>
              <w:t>5</w:t>
            </w:r>
          </w:p>
        </w:tc>
        <w:tc>
          <w:tcPr>
            <w:tcW w:w="5953" w:type="dxa"/>
            <w:vAlign w:val="center"/>
          </w:tcPr>
          <w:p>
            <w:pPr>
              <w:pStyle w:val="94"/>
              <w:spacing w:line="400" w:lineRule="exact"/>
              <w:ind w:firstLine="0" w:firstLineChars="0"/>
              <w:rPr>
                <w:rFonts w:ascii="宋体" w:hAnsi="宋体"/>
                <w:szCs w:val="21"/>
              </w:rPr>
            </w:pPr>
            <w:r>
              <w:rPr>
                <w:rFonts w:hint="eastAsia" w:ascii="宋体" w:hAnsi="宋体"/>
                <w:szCs w:val="21"/>
              </w:rPr>
              <w:t>（一）评分内容：</w:t>
            </w:r>
          </w:p>
          <w:p>
            <w:pPr>
              <w:adjustRightInd w:val="0"/>
              <w:snapToGrid w:val="0"/>
              <w:spacing w:line="400" w:lineRule="exact"/>
              <w:rPr>
                <w:rFonts w:ascii="宋体" w:hAnsi="宋体" w:cs="宋体"/>
                <w:szCs w:val="21"/>
              </w:rPr>
            </w:pPr>
            <w:r>
              <w:rPr>
                <w:rFonts w:hint="eastAsia" w:ascii="宋体" w:hAnsi="宋体" w:cs="宋体"/>
                <w:szCs w:val="21"/>
              </w:rPr>
              <w:t>投标人参与政府采购活动在诚信管理中受过主管部门通报处理且仍在实施期限内的本项不得分，</w:t>
            </w:r>
            <w:r>
              <w:rPr>
                <w:rFonts w:hint="eastAsia" w:asciiTheme="minorEastAsia" w:hAnsiTheme="minorEastAsia" w:eastAsiaTheme="minorEastAsia"/>
                <w:kern w:val="0"/>
                <w:szCs w:val="21"/>
              </w:rPr>
              <w:t>否则得5分</w:t>
            </w:r>
            <w:r>
              <w:rPr>
                <w:rFonts w:hint="eastAsia" w:ascii="宋体" w:hAnsi="宋体" w:cs="宋体"/>
                <w:szCs w:val="21"/>
              </w:rPr>
              <w:t>。</w:t>
            </w:r>
          </w:p>
          <w:p>
            <w:pPr>
              <w:autoSpaceDE w:val="0"/>
              <w:autoSpaceDN w:val="0"/>
              <w:adjustRightInd w:val="0"/>
              <w:spacing w:line="400" w:lineRule="exact"/>
              <w:jc w:val="left"/>
              <w:rPr>
                <w:rFonts w:ascii="宋体" w:hAnsi="宋体"/>
                <w:kern w:val="0"/>
                <w:szCs w:val="21"/>
              </w:rPr>
            </w:pPr>
            <w:r>
              <w:rPr>
                <w:rFonts w:hint="eastAsia" w:ascii="宋体" w:hAnsi="宋体"/>
                <w:kern w:val="0"/>
                <w:szCs w:val="21"/>
              </w:rPr>
              <w:t>（二）评分依据：</w:t>
            </w:r>
          </w:p>
          <w:p>
            <w:pPr>
              <w:tabs>
                <w:tab w:val="left" w:pos="175"/>
              </w:tabs>
              <w:spacing w:line="400" w:lineRule="exact"/>
              <w:ind w:left="33"/>
              <w:jc w:val="left"/>
              <w:rPr>
                <w:rFonts w:ascii="宋体" w:hAnsi="宋体" w:cs="仿宋"/>
                <w:szCs w:val="21"/>
              </w:rPr>
            </w:pPr>
            <w:r>
              <w:rPr>
                <w:rFonts w:hint="eastAsia" w:ascii="宋体" w:hAnsi="宋体" w:cs="宋体"/>
                <w:bCs/>
                <w:kern w:val="0"/>
                <w:szCs w:val="21"/>
              </w:rPr>
              <w:t>按招标文件格式如实提供</w:t>
            </w:r>
            <w:r>
              <w:rPr>
                <w:rFonts w:hint="eastAsia" w:ascii="宋体" w:hAnsi="宋体" w:cs="宋体"/>
                <w:szCs w:val="21"/>
              </w:rPr>
              <w:t>《诚信承诺函》</w:t>
            </w:r>
            <w:r>
              <w:rPr>
                <w:rFonts w:hint="eastAsia" w:ascii="宋体" w:hAnsi="宋体" w:cs="宋体"/>
                <w:bCs/>
                <w:kern w:val="0"/>
                <w:szCs w:val="21"/>
              </w:rPr>
              <w:t>原件加盖投标人公章，且承诺函格式及内容不得修改，否则不得分</w:t>
            </w:r>
            <w:r>
              <w:rPr>
                <w:rFonts w:hint="eastAsia" w:ascii="宋体" w:hAnsi="宋体" w:cs="宋体"/>
                <w:szCs w:val="21"/>
              </w:rPr>
              <w:t>。</w:t>
            </w:r>
            <w:r>
              <w:rPr>
                <w:rFonts w:hint="eastAsia" w:ascii="宋体" w:hAnsi="宋体" w:cs="宋体"/>
                <w:bCs/>
                <w:kern w:val="0"/>
                <w:szCs w:val="21"/>
              </w:rPr>
              <w:t>如若投标人承诺与实际情况不相符，将按虚假应标报相关主管部门处理</w:t>
            </w:r>
            <w:r>
              <w:rPr>
                <w:rFonts w:hint="eastAsia" w:ascii="宋体" w:hAnsi="宋体" w:cs="宋体"/>
                <w:szCs w:val="21"/>
              </w:rPr>
              <w:t>。</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bl>
    <w:p>
      <w:pPr>
        <w:spacing w:line="360" w:lineRule="auto"/>
        <w:ind w:firstLine="426" w:firstLineChars="202"/>
        <w:rPr>
          <w:rFonts w:asciiTheme="minorEastAsia" w:hAnsiTheme="minorEastAsia" w:eastAsiaTheme="minorEastAsia"/>
          <w:b/>
          <w:bCs/>
        </w:rPr>
      </w:pPr>
    </w:p>
    <w:p>
      <w:pPr>
        <w:pStyle w:val="4"/>
        <w:spacing w:before="0" w:after="0"/>
        <w:jc w:val="left"/>
        <w:rPr>
          <w:rFonts w:asciiTheme="minorEastAsia" w:hAnsiTheme="minorEastAsia"/>
          <w:bCs w:val="0"/>
          <w:sz w:val="21"/>
          <w:szCs w:val="21"/>
        </w:rPr>
      </w:pPr>
      <w:bookmarkStart w:id="10" w:name="_Toc44690703"/>
      <w:bookmarkStart w:id="11" w:name="_Toc44691394"/>
      <w:bookmarkStart w:id="12" w:name="_Toc73610144"/>
      <w:bookmarkStart w:id="13" w:name="_Toc44691162"/>
      <w:bookmarkStart w:id="14" w:name="_Toc44690430"/>
      <w:r>
        <w:rPr>
          <w:rFonts w:hint="eastAsia" w:asciiTheme="minorEastAsia" w:hAnsiTheme="minorEastAsia"/>
          <w:bCs w:val="0"/>
          <w:sz w:val="21"/>
          <w:szCs w:val="21"/>
        </w:rPr>
        <w:t>备注：</w:t>
      </w:r>
      <w:bookmarkEnd w:id="10"/>
      <w:bookmarkEnd w:id="11"/>
      <w:bookmarkEnd w:id="12"/>
      <w:bookmarkEnd w:id="13"/>
      <w:bookmarkEnd w:id="14"/>
    </w:p>
    <w:p>
      <w:pPr>
        <w:pStyle w:val="3"/>
        <w:spacing w:before="0" w:after="0"/>
      </w:pPr>
      <w:bookmarkStart w:id="15" w:name="_Toc73610145"/>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3"/>
        <w:spacing w:before="0" w:after="0"/>
        <w:rPr>
          <w:rFonts w:asciiTheme="minorEastAsia" w:hAnsiTheme="minorEastAsia" w:eastAsiaTheme="minorEastAsia"/>
        </w:rPr>
      </w:pPr>
      <w:bookmarkStart w:id="16" w:name="_Toc73610146"/>
      <w:r>
        <w:rPr>
          <w:rFonts w:hint="eastAsia" w:asciiTheme="minorEastAsia" w:hAnsiTheme="minorEastAsia" w:eastAsiaTheme="minorEastAsia"/>
        </w:rPr>
        <w:t>2、政府采购优惠政策</w:t>
      </w:r>
      <w:bookmarkEnd w:id="16"/>
    </w:p>
    <w:p>
      <w:pPr>
        <w:adjustRightInd w:val="0"/>
        <w:snapToGrid w:val="0"/>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10 </w:t>
      </w:r>
      <w:r>
        <w:rPr>
          <w:rFonts w:hint="eastAsia" w:asciiTheme="minorEastAsia" w:hAnsiTheme="minorEastAsia" w:eastAsiaTheme="minorEastAsia"/>
          <w:b/>
        </w:rPr>
        <w:t>%（请在10%-20%范围内选择）后参与评审</w:t>
      </w:r>
      <w:r>
        <w:rPr>
          <w:rFonts w:hint="eastAsia" w:asciiTheme="minorEastAsia" w:hAnsiTheme="minorEastAsia" w:eastAsiaTheme="minorEastAsia"/>
        </w:rPr>
        <w:t>。对于同时属于小微企业、监狱企业或残疾人福利性单位的，不重复进行投标报价扣除。</w:t>
      </w:r>
    </w:p>
    <w:p>
      <w:pPr>
        <w:adjustRightInd w:val="0"/>
        <w:snapToGrid w:val="0"/>
        <w:spacing w:line="360" w:lineRule="auto"/>
        <w:ind w:firstLine="426" w:firstLineChars="202"/>
        <w:rPr>
          <w:rFonts w:asciiTheme="minorEastAsia" w:hAnsiTheme="minorEastAsia" w:eastAsiaTheme="minorEastAsia"/>
          <w:szCs w:val="21"/>
        </w:rPr>
      </w:pPr>
      <w:r>
        <w:rPr>
          <w:rFonts w:hint="eastAsia" w:ascii="宋体" w:hAnsi="宋体"/>
          <w:b/>
          <w:szCs w:val="21"/>
          <w:highlight w:val="yellow"/>
        </w:rPr>
        <w:t>本项目所属行业为</w:t>
      </w:r>
      <w:r>
        <w:rPr>
          <w:rFonts w:hint="eastAsia" w:ascii="宋体" w:hAnsi="宋体"/>
          <w:b/>
          <w:szCs w:val="21"/>
          <w:highlight w:val="yellow"/>
          <w:u w:val="single"/>
        </w:rPr>
        <w:t xml:space="preserve">  工业  </w:t>
      </w:r>
      <w:r>
        <w:rPr>
          <w:rFonts w:hint="eastAsia" w:ascii="宋体" w:hAnsi="宋体"/>
          <w:b/>
          <w:szCs w:val="21"/>
          <w:highlight w:val="yellow"/>
        </w:rPr>
        <w:t>。</w:t>
      </w:r>
      <w:r>
        <w:rPr>
          <w:rFonts w:hint="eastAsia" w:ascii="宋体" w:hAnsi="宋体"/>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%（请在4</w:t>
      </w:r>
      <w:r>
        <w:rPr>
          <w:rFonts w:asciiTheme="minorEastAsia" w:hAnsiTheme="minorEastAsia" w:eastAsiaTheme="minorEastAsia"/>
          <w:b/>
        </w:rPr>
        <w:t>%-</w:t>
      </w:r>
      <w:r>
        <w:rPr>
          <w:rFonts w:hint="eastAsia" w:asciiTheme="minorEastAsia" w:hAnsiTheme="minorEastAsia" w:eastAsiaTheme="minorEastAsia"/>
          <w:b/>
        </w:rPr>
        <w:t>6</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政府采购扶持政策</w:t>
      </w:r>
      <w:r>
        <w:rPr>
          <w:rFonts w:hint="eastAsia" w:asciiTheme="minorEastAsia" w:hAnsiTheme="minorEastAsia" w:eastAsiaTheme="minorEastAsia"/>
          <w:b/>
        </w:rPr>
        <w:t>第一款</w:t>
      </w:r>
      <w:r>
        <w:rPr>
          <w:rFonts w:hint="eastAsia" w:asciiTheme="minorEastAsia" w:hAnsiTheme="minorEastAsia" w:eastAsiaTheme="minorEastAsia"/>
        </w:rPr>
        <w:t>的优惠政策。</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（4）投标产品属于《关于调整优化节能产品环境标志产品政府采购执行机制的通知》（财库〔2019〕9号）、《关于印发环境标志产品政府采购品目清单的通知》（财库〔2019〕18号）和《关于印发节能产品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对符合条件的获证产品（强制采购产品除外）</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w:t>
      </w:r>
      <w:r>
        <w:rPr>
          <w:rFonts w:hint="eastAsia" w:asciiTheme="minorEastAsia" w:hAnsiTheme="minorEastAsia" w:eastAsiaTheme="minorEastAsia"/>
          <w:b/>
          <w:szCs w:val="21"/>
          <w:u w:val="single"/>
          <w:lang w:val="en-US" w:eastAsia="zh-CN"/>
        </w:rPr>
        <w:t>/</w:t>
      </w:r>
      <w:r>
        <w:rPr>
          <w:rFonts w:hint="eastAsia" w:asciiTheme="minorEastAsia" w:hAnsiTheme="minorEastAsia" w:eastAsiaTheme="minorEastAsia"/>
          <w:b/>
          <w:szCs w:val="21"/>
          <w:u w:val="single"/>
        </w:rPr>
        <w:t xml:space="preserve"> </w:t>
      </w:r>
      <w:r>
        <w:rPr>
          <w:rFonts w:hint="eastAsia" w:asciiTheme="minorEastAsia" w:hAnsiTheme="minorEastAsia" w:eastAsiaTheme="minorEastAsia"/>
          <w:b/>
          <w:szCs w:val="21"/>
        </w:rPr>
        <w:t>%的价格扣除，用扣除后的价格参与评审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spacing w:line="360" w:lineRule="auto"/>
        <w:ind w:firstLine="424" w:firstLineChars="202"/>
        <w:jc w:val="left"/>
      </w:pPr>
      <w:r>
        <w:rPr>
          <w:rFonts w:hint="eastAsia" w:asciiTheme="minorEastAsia" w:hAnsiTheme="minorEastAsia" w:eastAsiaTheme="minorEastAsia"/>
          <w:szCs w:val="21"/>
        </w:rPr>
        <w:t>（5）</w:t>
      </w: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r>
        <w:rPr>
          <w:rFonts w:hint="eastAsia" w:asciiTheme="minorEastAsia" w:hAnsiTheme="minorEastAsia" w:eastAsiaTheme="minorEastAsia"/>
          <w:szCs w:val="21"/>
        </w:rPr>
        <w:t>。</w:t>
      </w:r>
    </w:p>
    <w:p>
      <w:pPr>
        <w:widowControl/>
        <w:jc w:val="left"/>
        <w:rPr>
          <w:sz w:val="32"/>
        </w:rPr>
      </w:pPr>
      <w:r>
        <w:rPr>
          <w:rFonts w:eastAsiaTheme="minorEastAsia"/>
          <w:b/>
          <w:kern w:val="44"/>
          <w:sz w:val="32"/>
          <w:szCs w:val="28"/>
        </w:rPr>
        <w:br w:type="page"/>
      </w:r>
    </w:p>
    <w:p>
      <w:pPr>
        <w:widowControl/>
        <w:jc w:val="left"/>
        <w:rPr>
          <w:rFonts w:eastAsiaTheme="minorEastAsia"/>
          <w:b/>
          <w:kern w:val="44"/>
          <w:sz w:val="32"/>
          <w:szCs w:val="28"/>
        </w:rPr>
      </w:pPr>
    </w:p>
    <w:p>
      <w:pPr>
        <w:pStyle w:val="2"/>
        <w:spacing w:beforeLines="50"/>
      </w:pPr>
      <w:bookmarkStart w:id="17" w:name="_Toc73610147"/>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pPr>
            <w:r>
              <w:rPr>
                <w:rFonts w:hint="eastAsia" w:asciiTheme="minorEastAsia" w:hAnsiTheme="minorEastAsia" w:eastAsiaTheme="minorEastAsia"/>
              </w:rPr>
              <w:t>动脉硬化检测装置采购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hAnsi="宋体" w:cs="宋体"/>
                <w:color w:val="000000"/>
                <w:szCs w:val="21"/>
                <w:shd w:val="clear" w:color="auto" w:fill="FFFFFF"/>
              </w:rPr>
              <w:t>中山大学附属第八医院（深圳福田）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招标代理机构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60" w:lineRule="auto"/>
              <w:rPr>
                <w:rFonts w:hAnsi="宋体"/>
                <w:szCs w:val="21"/>
              </w:rPr>
            </w:pPr>
            <w:r>
              <w:rPr>
                <w:rFonts w:hint="eastAsia" w:hAnsi="宋体"/>
                <w:szCs w:val="21"/>
              </w:rPr>
              <w:t>详见《第一章 投标邀请》“申请人的资格要求”</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不要求向招标代理机构提交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正本1份，副本</w:t>
            </w:r>
            <w:r>
              <w:rPr>
                <w:rFonts w:hint="eastAsia" w:asciiTheme="minorEastAsia" w:hAnsiTheme="minorEastAsia" w:eastAsiaTheme="minorEastAsia"/>
              </w:rPr>
              <w:t>5</w:t>
            </w:r>
            <w:r>
              <w:rPr>
                <w:rFonts w:asciiTheme="minorEastAsia" w:hAnsiTheme="minorEastAsia" w:eastAsiaTheme="minorEastAsia"/>
              </w:rPr>
              <w:t>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b/>
              </w:rPr>
            </w:pPr>
            <w:r>
              <w:rPr>
                <w:rFonts w:hAnsi="宋体"/>
                <w:b/>
              </w:rPr>
              <w:t>时间：</w:t>
            </w:r>
            <w:r>
              <w:rPr>
                <w:rFonts w:hint="eastAsia" w:hAnsi="宋体"/>
                <w:b/>
                <w:snapToGrid w:val="0"/>
                <w:szCs w:val="18"/>
              </w:rPr>
              <w:t>2022年</w:t>
            </w:r>
            <w:r>
              <w:rPr>
                <w:rFonts w:hint="eastAsia" w:hAnsi="宋体"/>
                <w:b/>
                <w:snapToGrid w:val="0"/>
                <w:szCs w:val="18"/>
                <w:lang w:val="en-US" w:eastAsia="zh-CN"/>
              </w:rPr>
              <w:t>8</w:t>
            </w:r>
            <w:r>
              <w:rPr>
                <w:rFonts w:hint="eastAsia" w:hAnsi="宋体"/>
                <w:b/>
                <w:snapToGrid w:val="0"/>
                <w:szCs w:val="18"/>
              </w:rPr>
              <w:t>月</w:t>
            </w:r>
            <w:r>
              <w:rPr>
                <w:rFonts w:hint="eastAsia" w:hAnsi="宋体"/>
                <w:b/>
                <w:snapToGrid w:val="0"/>
                <w:szCs w:val="18"/>
                <w:lang w:val="en-US" w:eastAsia="zh-CN"/>
              </w:rPr>
              <w:t>19</w:t>
            </w:r>
            <w:r>
              <w:rPr>
                <w:rFonts w:hint="eastAsia" w:hAnsi="宋体"/>
                <w:b/>
                <w:snapToGrid w:val="0"/>
                <w:szCs w:val="18"/>
              </w:rPr>
              <w:t>日</w:t>
            </w:r>
            <w:r>
              <w:rPr>
                <w:rFonts w:hint="eastAsia" w:hAnsi="宋体"/>
                <w:b/>
                <w:snapToGrid w:val="0"/>
                <w:szCs w:val="18"/>
                <w:lang w:val="en-US" w:eastAsia="zh-CN"/>
              </w:rPr>
              <w:t>09</w:t>
            </w:r>
            <w:r>
              <w:rPr>
                <w:rFonts w:hint="eastAsia" w:hAnsi="宋体"/>
                <w:b/>
                <w:snapToGrid w:val="0"/>
                <w:szCs w:val="18"/>
              </w:rPr>
              <w:t>点30分</w:t>
            </w:r>
            <w:r>
              <w:rPr>
                <w:rFonts w:hAnsi="宋体"/>
                <w:b/>
              </w:rPr>
              <w:t>（北京时间）</w:t>
            </w:r>
          </w:p>
          <w:p>
            <w:pPr>
              <w:pStyle w:val="26"/>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b/>
                <w:snapToGrid w:val="0"/>
                <w:szCs w:val="18"/>
              </w:rPr>
              <w:t>2022年</w:t>
            </w:r>
            <w:r>
              <w:rPr>
                <w:rFonts w:hint="eastAsia" w:hAnsi="宋体"/>
                <w:b/>
                <w:snapToGrid w:val="0"/>
                <w:szCs w:val="18"/>
                <w:lang w:val="en-US" w:eastAsia="zh-CN"/>
              </w:rPr>
              <w:t>8</w:t>
            </w:r>
            <w:r>
              <w:rPr>
                <w:rFonts w:hint="eastAsia" w:hAnsi="宋体"/>
                <w:b/>
                <w:snapToGrid w:val="0"/>
                <w:szCs w:val="18"/>
              </w:rPr>
              <w:t>月</w:t>
            </w:r>
            <w:r>
              <w:rPr>
                <w:rFonts w:hint="eastAsia" w:hAnsi="宋体"/>
                <w:b/>
                <w:snapToGrid w:val="0"/>
                <w:szCs w:val="18"/>
                <w:lang w:val="en-US" w:eastAsia="zh-CN"/>
              </w:rPr>
              <w:t>19</w:t>
            </w:r>
            <w:r>
              <w:rPr>
                <w:rFonts w:hint="eastAsia" w:hAnsi="宋体"/>
                <w:b/>
                <w:snapToGrid w:val="0"/>
                <w:szCs w:val="18"/>
              </w:rPr>
              <w:t>日</w:t>
            </w:r>
            <w:r>
              <w:rPr>
                <w:rFonts w:hint="eastAsia" w:hAnsi="宋体"/>
                <w:b/>
                <w:snapToGrid w:val="0"/>
                <w:szCs w:val="18"/>
                <w:lang w:val="en-US" w:eastAsia="zh-CN"/>
              </w:rPr>
              <w:t>09</w:t>
            </w:r>
            <w:r>
              <w:rPr>
                <w:rFonts w:hint="eastAsia" w:hAnsi="宋体"/>
                <w:b/>
                <w:snapToGrid w:val="0"/>
                <w:szCs w:val="18"/>
              </w:rPr>
              <w:t>点30分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hAnsi="宋体"/>
              </w:rPr>
            </w:pPr>
            <w:r>
              <w:rPr>
                <w:rFonts w:hint="eastAsia" w:asciiTheme="minorEastAsia" w:hAnsiTheme="minorEastAsia" w:eastAsiaTheme="minorEastAsia"/>
                <w:szCs w:val="21"/>
              </w:rPr>
              <w:t>按深财购[2018]27号文件的代理费用参考标准（</w:t>
            </w:r>
            <w:r>
              <w:rPr>
                <w:rFonts w:hint="eastAsia" w:asciiTheme="minorEastAsia" w:hAnsiTheme="minorEastAsia" w:eastAsiaTheme="minorEastAsia"/>
              </w:rPr>
              <w:t>详见《投标人须知》</w:t>
            </w:r>
            <w:r>
              <w:rPr>
                <w:rFonts w:hint="eastAsia" w:asciiTheme="minorEastAsia" w:hAnsiTheme="minorEastAsia" w:eastAsiaTheme="minorEastAsia"/>
                <w:szCs w:val="21"/>
              </w:rPr>
              <w:t>），向中标供应商收取</w:t>
            </w:r>
            <w:r>
              <w:rPr>
                <w:rFonts w:hint="eastAsia" w:asciiTheme="minorEastAsia" w:hAnsiTheme="minorEastAsia" w:eastAsiaTheme="minorEastAsia"/>
              </w:rPr>
              <w:t>，最低收取人民币6000元。</w:t>
            </w:r>
          </w:p>
        </w:tc>
      </w:tr>
    </w:tbl>
    <w:p>
      <w:pPr>
        <w:widowControl/>
        <w:jc w:val="left"/>
      </w:pPr>
      <w:r>
        <w:br w:type="page"/>
      </w:r>
    </w:p>
    <w:p/>
    <w:p>
      <w:pPr>
        <w:pStyle w:val="2"/>
      </w:pPr>
      <w:bookmarkStart w:id="18" w:name="_Toc73610148"/>
      <w:r>
        <w:rPr>
          <w:rFonts w:hint="eastAsia"/>
        </w:rPr>
        <w:t>第六章  投标人须知</w:t>
      </w:r>
      <w:bookmarkEnd w:id="18"/>
    </w:p>
    <w:p>
      <w:pPr>
        <w:pStyle w:val="4"/>
        <w:spacing w:before="0" w:after="0"/>
      </w:pPr>
      <w:bookmarkStart w:id="19" w:name="_Toc73610149"/>
      <w:r>
        <w:rPr>
          <w:rFonts w:hint="eastAsia"/>
        </w:rPr>
        <w:t>一、说明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及有关招投标法规、规章、规定通过招标来择优选定投标人。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”系指前附表第2项所述。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”系前附表第3项所述。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 “投标人”系指向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4“货物”系指投标人按招标文件规定，向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提供的设备及材料的安装。</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提供符合方案的服务。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（2）投标联合体各方必须有一方先行注册成深圳市政府采购中心供应商。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4"/>
        <w:spacing w:before="0" w:after="0"/>
      </w:pPr>
      <w:bookmarkStart w:id="21" w:name="_Toc73610150"/>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招标文件是用以阐明所需设备及服务的情况，以及招标、投标程序和相应的合同条款。招标文件由下述部份组成：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4"/>
        <w:spacing w:before="0" w:after="0"/>
      </w:pPr>
      <w:bookmarkStart w:id="22" w:name="q6"/>
      <w:bookmarkEnd w:id="22"/>
      <w:bookmarkStart w:id="23" w:name="_Toc73610151"/>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hint="eastAsia"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pPr>
      <w:r>
        <w:rPr>
          <w:rFonts w:hint="eastAsia" w:asciiTheme="minorEastAsia" w:hAnsiTheme="minorEastAsia" w:eastAsiaTheme="minorEastAsia"/>
          <w:snapToGrid w:val="0"/>
          <w:kern w:val="0"/>
        </w:rPr>
        <w:t>（2）政府采购违法行为风险知悉确认书</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w:t>
      </w:r>
      <w:r>
        <w:rPr>
          <w:rFonts w:hint="eastAsia" w:asciiTheme="minorEastAsia" w:hAnsiTheme="minorEastAsia" w:eastAsiaTheme="minorEastAsia"/>
          <w:snapToGrid w:val="0"/>
          <w:kern w:val="0"/>
          <w:lang w:val="en-US" w:eastAsia="zh-CN"/>
        </w:rPr>
        <w:t>3</w:t>
      </w:r>
      <w:r>
        <w:rPr>
          <w:rFonts w:hint="eastAsia" w:asciiTheme="minorEastAsia" w:hAnsiTheme="minorEastAsia" w:eastAsiaTheme="minorEastAsia"/>
          <w:snapToGrid w:val="0"/>
          <w:kern w:val="0"/>
        </w:rPr>
        <w:t>）评标指引表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w:t>
      </w:r>
      <w:r>
        <w:rPr>
          <w:rFonts w:hint="eastAsia" w:asciiTheme="minorEastAsia" w:hAnsiTheme="minorEastAsia" w:eastAsiaTheme="minorEastAsia"/>
          <w:snapToGrid w:val="0"/>
          <w:kern w:val="0"/>
          <w:lang w:val="en-US" w:eastAsia="zh-CN"/>
        </w:rPr>
        <w:t>4</w:t>
      </w:r>
      <w:r>
        <w:rPr>
          <w:rFonts w:hint="eastAsia" w:asciiTheme="minorEastAsia" w:hAnsiTheme="minorEastAsia" w:eastAsiaTheme="minorEastAsia"/>
          <w:snapToGrid w:val="0"/>
          <w:kern w:val="0"/>
        </w:rPr>
        <w:t>）</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w:t>
      </w:r>
      <w:r>
        <w:rPr>
          <w:rFonts w:hint="eastAsia" w:asciiTheme="minorEastAsia" w:hAnsiTheme="minorEastAsia" w:eastAsiaTheme="minorEastAsia"/>
          <w:snapToGrid w:val="0"/>
          <w:kern w:val="0"/>
          <w:lang w:val="en-US" w:eastAsia="zh-CN"/>
        </w:rPr>
        <w:t>5</w:t>
      </w:r>
      <w:r>
        <w:rPr>
          <w:rFonts w:hint="eastAsia" w:asciiTheme="minorEastAsia" w:hAnsiTheme="minorEastAsia" w:eastAsiaTheme="minorEastAsia"/>
          <w:snapToGrid w:val="0"/>
          <w:kern w:val="0"/>
        </w:rPr>
        <w:t>）</w:t>
      </w:r>
      <w:r>
        <w:rPr>
          <w:rFonts w:hint="eastAsia"/>
          <w:snapToGrid w:val="0"/>
          <w:kern w:val="0"/>
          <w:szCs w:val="21"/>
        </w:rPr>
        <w:t>法定代表人证明书及授权委托书</w:t>
      </w:r>
      <w:r>
        <w:rPr>
          <w:rFonts w:hint="eastAsia" w:asciiTheme="minorEastAsia" w:hAnsiTheme="minorEastAsia" w:eastAsiaTheme="minorEastAsia"/>
          <w:snapToGrid w:val="0"/>
          <w:kern w:val="0"/>
        </w:rPr>
        <w:t>（投标文件格式2）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w:t>
      </w:r>
      <w:r>
        <w:rPr>
          <w:rFonts w:hint="eastAsia" w:asciiTheme="minorEastAsia" w:hAnsiTheme="minorEastAsia" w:eastAsiaTheme="minorEastAsia"/>
          <w:snapToGrid w:val="0"/>
          <w:kern w:val="0"/>
          <w:lang w:val="en-US" w:eastAsia="zh-CN"/>
        </w:rPr>
        <w:t>6</w:t>
      </w:r>
      <w:r>
        <w:rPr>
          <w:rFonts w:hint="eastAsia" w:asciiTheme="minorEastAsia" w:hAnsiTheme="minorEastAsia" w:eastAsiaTheme="minorEastAsia"/>
          <w:snapToGrid w:val="0"/>
          <w:kern w:val="0"/>
        </w:rPr>
        <w:t xml:space="preserve">）投标函（投标文件格式3） </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w:t>
      </w:r>
      <w:r>
        <w:rPr>
          <w:rFonts w:hint="eastAsia" w:asciiTheme="minorEastAsia" w:hAnsiTheme="minorEastAsia" w:eastAsiaTheme="minorEastAsia"/>
          <w:snapToGrid w:val="0"/>
          <w:kern w:val="0"/>
          <w:lang w:val="en-US" w:eastAsia="zh-CN"/>
        </w:rPr>
        <w:t>7</w:t>
      </w:r>
      <w:r>
        <w:rPr>
          <w:rFonts w:hint="eastAsia" w:asciiTheme="minorEastAsia" w:hAnsiTheme="minorEastAsia" w:eastAsiaTheme="minorEastAsia"/>
          <w:snapToGrid w:val="0"/>
          <w:kern w:val="0"/>
        </w:rPr>
        <w:t>）</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w:t>
      </w:r>
      <w:r>
        <w:rPr>
          <w:rFonts w:hint="eastAsia" w:asciiTheme="minorEastAsia" w:hAnsiTheme="minorEastAsia" w:eastAsiaTheme="minorEastAsia"/>
          <w:snapToGrid w:val="0"/>
          <w:kern w:val="0"/>
          <w:lang w:val="en-US" w:eastAsia="zh-CN"/>
        </w:rPr>
        <w:t>8</w:t>
      </w:r>
      <w:r>
        <w:rPr>
          <w:rFonts w:hint="eastAsia" w:asciiTheme="minorEastAsia" w:hAnsiTheme="minorEastAsia" w:eastAsiaTheme="minorEastAsia"/>
          <w:snapToGrid w:val="0"/>
          <w:kern w:val="0"/>
        </w:rPr>
        <w:t>）报价表（投标文件格式6）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w:t>
      </w:r>
      <w:r>
        <w:rPr>
          <w:rFonts w:hint="eastAsia" w:asciiTheme="minorEastAsia" w:hAnsiTheme="minorEastAsia" w:eastAsiaTheme="minorEastAsia"/>
          <w:snapToGrid w:val="0"/>
          <w:kern w:val="0"/>
          <w:lang w:val="en-US" w:eastAsia="zh-CN"/>
        </w:rPr>
        <w:t>9</w:t>
      </w:r>
      <w:r>
        <w:rPr>
          <w:rFonts w:hint="eastAsia" w:asciiTheme="minorEastAsia" w:hAnsiTheme="minorEastAsia" w:eastAsiaTheme="minorEastAsia"/>
          <w:snapToGrid w:val="0"/>
          <w:kern w:val="0"/>
        </w:rPr>
        <w:t>）技术规格（投标文件格式7）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w:t>
      </w:r>
      <w:r>
        <w:rPr>
          <w:rFonts w:hint="eastAsia" w:asciiTheme="minorEastAsia" w:hAnsiTheme="minorEastAsia" w:eastAsiaTheme="minorEastAsia"/>
          <w:snapToGrid w:val="0"/>
          <w:kern w:val="0"/>
          <w:lang w:val="en-US" w:eastAsia="zh-CN"/>
        </w:rPr>
        <w:t>10</w:t>
      </w:r>
      <w:r>
        <w:rPr>
          <w:rFonts w:hint="eastAsia" w:asciiTheme="minorEastAsia" w:hAnsiTheme="minorEastAsia" w:eastAsiaTheme="minorEastAsia"/>
          <w:snapToGrid w:val="0"/>
          <w:kern w:val="0"/>
        </w:rPr>
        <w:t>）交付进度（投标文件格式8）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hint="eastAsia" w:asciiTheme="minorEastAsia" w:hAnsiTheme="minorEastAsia" w:eastAsiaTheme="minorEastAsia"/>
          <w:snapToGrid w:val="0"/>
          <w:kern w:val="0"/>
          <w:lang w:val="en-US" w:eastAsia="zh-CN"/>
        </w:rPr>
        <w:t>1</w:t>
      </w:r>
      <w:r>
        <w:rPr>
          <w:rFonts w:hint="eastAsia" w:asciiTheme="minorEastAsia" w:hAnsiTheme="minorEastAsia" w:eastAsiaTheme="minorEastAsia"/>
          <w:snapToGrid w:val="0"/>
          <w:kern w:val="0"/>
        </w:rPr>
        <w:t>）售后服务和质量承诺（投标文件格式9）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hint="eastAsia" w:asciiTheme="minorEastAsia" w:hAnsiTheme="minorEastAsia" w:eastAsiaTheme="minorEastAsia"/>
          <w:snapToGrid w:val="0"/>
          <w:kern w:val="0"/>
          <w:lang w:val="en-US" w:eastAsia="zh-CN"/>
        </w:rPr>
        <w:t>2</w:t>
      </w:r>
      <w:r>
        <w:rPr>
          <w:rFonts w:hint="eastAsia" w:asciiTheme="minorEastAsia" w:hAnsiTheme="minorEastAsia" w:eastAsiaTheme="minorEastAsia"/>
          <w:snapToGrid w:val="0"/>
          <w:kern w:val="0"/>
        </w:rPr>
        <w:t>）</w:t>
      </w:r>
      <w:r>
        <w:rPr>
          <w:rFonts w:asciiTheme="minorEastAsia" w:hAnsiTheme="minorEastAsia" w:eastAsiaTheme="minorEastAsia"/>
          <w:snapToGrid w:val="0"/>
          <w:kern w:val="0"/>
        </w:rPr>
        <w:t>投标人资格</w:t>
      </w:r>
      <w:r>
        <w:rPr>
          <w:rFonts w:hint="eastAsia" w:asciiTheme="minorEastAsia" w:hAnsiTheme="minorEastAsia" w:eastAsiaTheme="minorEastAsia"/>
          <w:snapToGrid w:val="0"/>
          <w:kern w:val="0"/>
        </w:rPr>
        <w:t>声明 （投标文件格式10）</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hint="eastAsia" w:asciiTheme="minorEastAsia" w:hAnsiTheme="minorEastAsia" w:eastAsiaTheme="minorEastAsia"/>
          <w:snapToGrid w:val="0"/>
          <w:kern w:val="0"/>
          <w:lang w:val="en-US" w:eastAsia="zh-CN"/>
        </w:rPr>
        <w:t>3</w:t>
      </w:r>
      <w:r>
        <w:rPr>
          <w:rFonts w:hint="eastAsia" w:asciiTheme="minorEastAsia" w:hAnsiTheme="minorEastAsia" w:eastAsiaTheme="minorEastAsia"/>
          <w:snapToGrid w:val="0"/>
          <w:kern w:val="0"/>
        </w:rPr>
        <w:t>）偏离表（投标文件格式11）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hint="eastAsia" w:asciiTheme="minorEastAsia" w:hAnsiTheme="minorEastAsia" w:eastAsiaTheme="minorEastAsia"/>
          <w:snapToGrid w:val="0"/>
          <w:kern w:val="0"/>
          <w:lang w:val="en-US" w:eastAsia="zh-CN"/>
        </w:rPr>
        <w:t>4</w:t>
      </w:r>
      <w:r>
        <w:rPr>
          <w:rFonts w:hint="eastAsia" w:asciiTheme="minorEastAsia" w:hAnsiTheme="minorEastAsia" w:eastAsiaTheme="minorEastAsia"/>
          <w:snapToGrid w:val="0"/>
          <w:kern w:val="0"/>
        </w:rPr>
        <w:t>）招标文件要求的其他资料或投标人认为需要补充的资料（投标文件格式12）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hint="eastAsia" w:asciiTheme="minorEastAsia" w:hAnsiTheme="minorEastAsia" w:eastAsiaTheme="minorEastAsia"/>
          <w:snapToGrid w:val="0"/>
          <w:kern w:val="0"/>
          <w:lang w:val="en-US" w:eastAsia="zh-CN"/>
        </w:rPr>
        <w:t>5</w:t>
      </w:r>
      <w:r>
        <w:rPr>
          <w:rFonts w:hint="eastAsia" w:asciiTheme="minorEastAsia" w:hAnsiTheme="minorEastAsia" w:eastAsiaTheme="minorEastAsia"/>
          <w:snapToGrid w:val="0"/>
          <w:kern w:val="0"/>
        </w:rPr>
        <w:t>）装有“法定代表人证明书、法定代表人授权书”和“开标一览表”单独密封的信封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hint="eastAsia" w:asciiTheme="minorEastAsia" w:hAnsiTheme="minorEastAsia" w:eastAsiaTheme="minorEastAsia"/>
          <w:snapToGrid w:val="0"/>
          <w:kern w:val="0"/>
          <w:lang w:val="en-US" w:eastAsia="zh-CN"/>
        </w:rPr>
        <w:t>6</w:t>
      </w:r>
      <w:r>
        <w:rPr>
          <w:rFonts w:hint="eastAsia" w:asciiTheme="minorEastAsia" w:hAnsiTheme="minorEastAsia" w:eastAsiaTheme="minorEastAsia"/>
          <w:snapToGrid w:val="0"/>
          <w:kern w:val="0"/>
        </w:rPr>
        <w:t>）装有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hint="eastAsia" w:asciiTheme="minorEastAsia" w:hAnsiTheme="minorEastAsia" w:eastAsiaTheme="minorEastAsia"/>
          <w:snapToGrid w:val="0"/>
          <w:kern w:val="0"/>
          <w:lang w:val="en-US" w:eastAsia="zh-CN"/>
        </w:rPr>
        <w:t>7</w:t>
      </w:r>
      <w:r>
        <w:rPr>
          <w:rFonts w:hint="eastAsia" w:asciiTheme="minorEastAsia" w:hAnsiTheme="minorEastAsia" w:eastAsiaTheme="minorEastAsia"/>
          <w:snapToGrid w:val="0"/>
          <w:kern w:val="0"/>
        </w:rPr>
        <w:t>）产品样品或产品样板（如有）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 投标人应分别在招标文件所附的“开标一览表”（投标文件格式5）和“报价表”（投标文件格式6）上写明投标货物的单价和投标总价。投标人对每种项目只允许有一个报价，招标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投标人必须提交证明其有资格进行投标，和中标后有能力履行合同的证明文件（投标文件格式1与格式10），作为投标文件的一部分。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投标保证金（本项目不适用）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投标保证金为投标文件的组成部份之一。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提交一笔不少于前附表第9项所规定的投标保证金。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ind w:left="630" w:hanging="630" w:hangingChars="300"/>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未中标的投标人的投标保证金，招标代理机构将在中标通知书发出且收到投标人的《投标保证金退还申请表》后5个工作日内退还。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中标人的投标保证金，招标代理机构将在中标人签订合同并支付中标服务费后5个工作日内退还。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已递交了投标保证金的投标人放弃投标，而没有在投标保证金递交截止时间前书面通知招标代理机构的；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如果中标人未能做到：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另行书面通知的时间和地点，派出代表出席</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投标文件数量按前附表第11项所述，须在每一份投标文件上明确注明“正本”或“副本”字样。一旦正本和副本有差异，以正本为准。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4"/>
        <w:spacing w:before="0" w:after="0"/>
      </w:pPr>
      <w:bookmarkStart w:id="24" w:name="q7"/>
      <w:bookmarkEnd w:id="24"/>
      <w:bookmarkStart w:id="25" w:name="_Toc73610152"/>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w:t>
      </w:r>
      <w:r>
        <w:rPr>
          <w:rFonts w:hint="eastAsia"/>
          <w:snapToGrid w:val="0"/>
          <w:kern w:val="0"/>
        </w:rPr>
        <w:t>“备份光盘（或U盘）”一起封装在同一个外层包封中，同时还应在封套上载明以下信息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备份光盘（或U盘）</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e.  年月日时分（开标时间）前不得开封。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18.4投标人应将“法定代表人证明书、法定代表人授权委托证明书”和“开标一览表”单独密封于一信封，在递交投标文件时单独交与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注明：“开标一览表”和“法定代表人证明书、法定代表人授权委托证明书”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e.  年月日时分（开标时间）前不得开封。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投标人应按18.1～18.7中的规定进行密封和标记后，将投标文件按照前附表第12项中注明的地址送至招标代理机构。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4"/>
        <w:spacing w:before="0" w:after="0"/>
      </w:pPr>
      <w:bookmarkStart w:id="27" w:name="q8"/>
      <w:bookmarkEnd w:id="27"/>
      <w:bookmarkStart w:id="28" w:name="_Toc73610153"/>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专家组成。评标委员会对投标文件进行审查、质疑、评估和比较。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hint="eastAsia" w:asciiTheme="minorEastAsia" w:hAnsiTheme="minorEastAsia" w:eastAsiaTheme="minorEastAsia"/>
          <w:szCs w:val="21"/>
        </w:rPr>
        <w:t>。</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4"/>
        <w:spacing w:before="0" w:after="0"/>
      </w:pPr>
      <w:bookmarkStart w:id="30" w:name="_Toc73610154"/>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中标人向招标代理机构支付中标服务费后，领取《中标通知书》。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中标人应按《中标通知书》或按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招标文件、中标人的投标文件及其澄清文件等，均为签订合同的依据。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中标人须按招标文件的规定或根据合同条款的规定向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897"/>
        <w:gridCol w:w="1898"/>
        <w:gridCol w:w="18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1075" w:hRule="atLeast"/>
          <w:jc w:val="center"/>
        </w:trPr>
        <w:tc>
          <w:tcPr>
            <w:tcW w:w="2131" w:type="dxa"/>
          </w:tcPr>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pict>
                <v:shape id="__TH_B3733" o:spid="_x0000_s3091" o:spt="202" type="#_x0000_t202" style="position:absolute;left:0pt;margin-left:56.4pt;margin-top:43.5pt;height:9.4pt;width:4.3pt;z-index:25167462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元</w:t>
                        </w:r>
                      </w:p>
                    </w:txbxContent>
                  </v:textbox>
                </v:shape>
              </w:pict>
            </w:r>
            <w:r>
              <w:rPr>
                <w:rFonts w:asciiTheme="minorEastAsia" w:hAnsiTheme="minorEastAsia" w:eastAsiaTheme="minorEastAsia"/>
              </w:rPr>
              <w:pict>
                <v:shape id="__TH_B3632" o:spid="_x0000_s3090" o:spt="202" type="#_x0000_t202" style="position:absolute;left:0pt;margin-left:44.55pt;margin-top:42.35pt;height:9.4pt;width:9.85pt;z-index:25167360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万</w:t>
                        </w:r>
                      </w:p>
                    </w:txbxContent>
                  </v:textbox>
                </v:shape>
              </w:pict>
            </w:r>
            <w:r>
              <w:rPr>
                <w:rFonts w:asciiTheme="minorEastAsia" w:hAnsiTheme="minorEastAsia" w:eastAsiaTheme="minorEastAsia"/>
              </w:rPr>
              <w:pict>
                <v:shape id="__TH_B3531" o:spid="_x0000_s3089" o:spt="202" type="#_x0000_t202" style="position:absolute;left:0pt;margin-left:38.45pt;margin-top:41.2pt;height:9.4pt;width:3.9pt;z-index:251672576;mso-width-relative:page;mso-height-relative:page;" filled="f" stroked="f" coordsize="21600,21600">
                  <v:path/>
                  <v:fill on="f" focussize="0,0"/>
                  <v:stroke on="f" joinstyle="miter"/>
                  <v:imagedata o:title=""/>
                  <o:lock v:ext="edit"/>
                  <v:textbox inset="0mm,0mm,0mm,0mm">
                    <w:txbxContent>
                      <w:p>
                        <w:pPr>
                          <w:snapToGrid w:val="0"/>
                          <w:rPr>
                            <w:sz w:val="15"/>
                          </w:rPr>
                        </w:pPr>
                        <w:r>
                          <w:rPr>
                            <w:sz w:val="15"/>
                          </w:rPr>
                          <w:t>(</w:t>
                        </w:r>
                      </w:p>
                    </w:txbxContent>
                  </v:textbox>
                </v:shape>
              </w:pict>
            </w:r>
            <w:r>
              <w:rPr>
                <w:rFonts w:asciiTheme="minorEastAsia" w:hAnsiTheme="minorEastAsia" w:eastAsiaTheme="minorEastAsia"/>
              </w:rPr>
              <w:pict>
                <v:shape id="__TH_B3430" o:spid="_x0000_s3088" o:spt="202" type="#_x0000_t202" style="position:absolute;left:0pt;margin-left:26.35pt;margin-top:40.05pt;height:9.4pt;width:9.9pt;z-index:251671552;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额</w:t>
                        </w:r>
                      </w:p>
                    </w:txbxContent>
                  </v:textbox>
                </v:shape>
              </w:pict>
            </w:r>
            <w:r>
              <w:rPr>
                <w:rFonts w:asciiTheme="minorEastAsia" w:hAnsiTheme="minorEastAsia" w:eastAsiaTheme="minorEastAsia"/>
              </w:rPr>
              <w:pict>
                <v:shape id="__TH_B3329" o:spid="_x0000_s3087" o:spt="202" type="#_x0000_t202" style="position:absolute;left:0pt;margin-left:17.3pt;margin-top:38.9pt;height:9.4pt;width:9.85pt;z-index:251670528;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金</w:t>
                        </w:r>
                      </w:p>
                    </w:txbxContent>
                  </v:textbox>
                </v:shape>
              </w:pict>
            </w:r>
            <w:r>
              <w:rPr>
                <w:rFonts w:asciiTheme="minorEastAsia" w:hAnsiTheme="minorEastAsia" w:eastAsiaTheme="minorEastAsia"/>
              </w:rPr>
              <w:pict>
                <v:shape id="__TH_B3228" o:spid="_x0000_s3086" o:spt="202" type="#_x0000_t202" style="position:absolute;left:0pt;margin-left:8.2pt;margin-top:37.75pt;height:9.4pt;width:9.9pt;z-index:25166950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标</w:t>
                        </w:r>
                      </w:p>
                    </w:txbxContent>
                  </v:textbox>
                </v:shape>
              </w:pict>
            </w:r>
            <w:r>
              <w:rPr>
                <w:rFonts w:asciiTheme="minorEastAsia" w:hAnsiTheme="minorEastAsia" w:eastAsiaTheme="minorEastAsia"/>
              </w:rPr>
              <w:pict>
                <v:shape id="__TH_B3127" o:spid="_x0000_s3085" o:spt="202" type="#_x0000_t202" style="position:absolute;left:0pt;margin-left:-0.85pt;margin-top:36.6pt;height:9.4pt;width:9.85pt;z-index:25166848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中</w:t>
                        </w:r>
                      </w:p>
                    </w:txbxContent>
                  </v:textbox>
                </v:shape>
              </w:pict>
            </w:r>
            <w:r>
              <w:rPr>
                <w:rFonts w:asciiTheme="minorEastAsia" w:hAnsiTheme="minorEastAsia" w:eastAsiaTheme="minorEastAsia"/>
              </w:rPr>
              <w:pict>
                <v:shape id="__TH_B2226" o:spid="_x0000_s3084" o:spt="202" type="#_x0000_t202" style="position:absolute;left:0pt;margin-left:63.4pt;margin-top:32.05pt;height:9.35pt;width:9.85pt;z-index:251667456;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率</w:t>
                        </w:r>
                      </w:p>
                    </w:txbxContent>
                  </v:textbox>
                </v:shape>
              </w:pict>
            </w:r>
            <w:r>
              <w:rPr>
                <w:rFonts w:asciiTheme="minorEastAsia" w:hAnsiTheme="minorEastAsia" w:eastAsiaTheme="minorEastAsia"/>
              </w:rPr>
              <w:pict>
                <v:shape id="__TH_B2125" o:spid="_x0000_s3083" o:spt="202" type="#_x0000_t202" style="position:absolute;left:0pt;margin-left:19.95pt;margin-top:10.05pt;height:9.4pt;width:9.9pt;z-index:251666432;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费</w:t>
                        </w:r>
                      </w:p>
                    </w:txbxContent>
                  </v:textbox>
                </v:shape>
              </w:pict>
            </w:r>
            <w:r>
              <w:rPr>
                <w:rFonts w:asciiTheme="minorEastAsia" w:hAnsiTheme="minorEastAsia" w:eastAsiaTheme="minorEastAsia"/>
              </w:rPr>
              <w:pict>
                <v:shape id="__TH_B1424" o:spid="_x0000_s3082" o:spt="202" type="#_x0000_t202" style="position:absolute;left:0pt;margin-left:88.65pt;margin-top:32.35pt;height:9.35pt;width:9.85pt;z-index:251665408;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型</w:t>
                        </w:r>
                      </w:p>
                    </w:txbxContent>
                  </v:textbox>
                </v:shape>
              </w:pict>
            </w:r>
            <w:r>
              <w:rPr>
                <w:rFonts w:asciiTheme="minorEastAsia" w:hAnsiTheme="minorEastAsia" w:eastAsiaTheme="minorEastAsia"/>
              </w:rPr>
              <w:pict>
                <v:shape id="__TH_B1323" o:spid="_x0000_s3081" o:spt="202" type="#_x0000_t202" style="position:absolute;left:0pt;margin-left:83.95pt;margin-top:22.8pt;height:9.4pt;width:9.85pt;z-index:25166438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类</w:t>
                        </w:r>
                      </w:p>
                    </w:txbxContent>
                  </v:textbox>
                </v:shape>
              </w:pict>
            </w:r>
            <w:r>
              <w:rPr>
                <w:rFonts w:asciiTheme="minorEastAsia" w:hAnsiTheme="minorEastAsia" w:eastAsiaTheme="minorEastAsia"/>
              </w:rPr>
              <w:pict>
                <v:shape id="__TH_B1222" o:spid="_x0000_s3080" o:spt="202" type="#_x0000_t202" style="position:absolute;left:0pt;margin-left:79.25pt;margin-top:13.3pt;height:9.4pt;width:9.85pt;z-index:25166336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务</w:t>
                        </w:r>
                      </w:p>
                    </w:txbxContent>
                  </v:textbox>
                </v:shape>
              </w:pict>
            </w:r>
            <w:r>
              <w:rPr>
                <w:rFonts w:asciiTheme="minorEastAsia" w:hAnsiTheme="minorEastAsia" w:eastAsiaTheme="minorEastAsia"/>
              </w:rPr>
              <w:pict>
                <v:shape id="__TH_B1121" o:spid="_x0000_s3079" o:spt="202" type="#_x0000_t202" style="position:absolute;left:0pt;margin-left:74.55pt;margin-top:3.8pt;height:9.4pt;width:9.85pt;z-index:251662336;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服</w:t>
                        </w:r>
                      </w:p>
                    </w:txbxContent>
                  </v:textbox>
                </v:shape>
              </w:pict>
            </w:r>
            <w:r>
              <w:rPr>
                <w:rFonts w:asciiTheme="minorEastAsia" w:hAnsiTheme="minorEastAsia" w:eastAsiaTheme="minorEastAsia"/>
              </w:rPr>
              <w:pict>
                <v:line id="__TH_L20" o:spid="_x0000_s3078" o:spt="20" style="position:absolute;left:0pt;margin-left:-5.15pt;margin-top:26.85pt;height:26.8pt;width:106pt;z-index:251661312;mso-width-relative:page;mso-height-relative:page;" coordsize="21600,21600">
                  <v:path arrowok="t"/>
                  <v:fill focussize="0,0"/>
                  <v:stroke weight="0.5pt"/>
                  <v:imagedata o:title=""/>
                  <o:lock v:ext="edit"/>
                </v:line>
              </w:pict>
            </w:r>
            <w:r>
              <w:rPr>
                <w:rFonts w:asciiTheme="minorEastAsia" w:hAnsiTheme="minorEastAsia" w:eastAsiaTheme="minorEastAsia"/>
              </w:rPr>
              <w:pict>
                <v:line id="__TH_L19" o:spid="_x0000_s3077" o:spt="20" style="position:absolute;left:0pt;margin-left:47.85pt;margin-top:0pt;height:53.65pt;width:53pt;z-index:251660288;mso-width-relative:page;mso-height-relative:page;" coordsize="21600,21600">
                  <v:path arrowok="t"/>
                  <v:fill focussize="0,0"/>
                  <v:stroke weight="0.5pt"/>
                  <v:imagedata o:title=""/>
                  <o:lock v:ext="edit"/>
                </v:line>
              </w:pict>
            </w:r>
          </w:p>
        </w:tc>
        <w:tc>
          <w:tcPr>
            <w:tcW w:w="1897" w:type="dxa"/>
            <w:tcBorders>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工程招标</w:t>
            </w:r>
          </w:p>
        </w:tc>
        <w:tc>
          <w:tcPr>
            <w:tcW w:w="1898" w:type="dxa"/>
            <w:tcBorders>
              <w:left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货物招标</w:t>
            </w:r>
          </w:p>
        </w:tc>
        <w:tc>
          <w:tcPr>
            <w:tcW w:w="1898" w:type="dxa"/>
            <w:tcBorders>
              <w:lef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1.00%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100-500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0.70%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1.10%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500-1000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1000-5000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0.35%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5000-10000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10000-100000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100000以上</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注：1、中标服务费按差额定率累进法计算。例如：某货物类项目中标金额为1000万元，计算中标服务费如下：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（500-100）万元×1.1%=4.4万元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（1000-500）×0.8%=4万元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合计收费=1.5+4.4+4＝9.9（万元）</w:t>
      </w:r>
    </w:p>
    <w:p>
      <w:pPr>
        <w:jc w:val="center"/>
        <w:rPr>
          <w:b/>
          <w:sz w:val="52"/>
          <w:szCs w:val="52"/>
        </w:rPr>
      </w:pPr>
    </w:p>
    <w:p/>
    <w:p/>
    <w:p/>
    <w:p/>
    <w:p/>
    <w:p/>
    <w:p/>
    <w:p>
      <w:pPr>
        <w:widowControl/>
        <w:jc w:val="left"/>
      </w:pPr>
      <w:r>
        <w:br w:type="page"/>
      </w:r>
    </w:p>
    <w:p/>
    <w:p>
      <w:pPr>
        <w:pStyle w:val="2"/>
      </w:pPr>
      <w:bookmarkStart w:id="31" w:name="_Toc73610155"/>
      <w:r>
        <w:rPr>
          <w:rFonts w:hint="eastAsia"/>
        </w:rPr>
        <w:t>第七章  投标文件格式</w:t>
      </w:r>
      <w:bookmarkEnd w:id="31"/>
    </w:p>
    <w:p>
      <w:pPr>
        <w:jc w:val="center"/>
        <w:rPr>
          <w:b/>
          <w:sz w:val="52"/>
          <w:szCs w:val="52"/>
        </w:rPr>
      </w:pPr>
    </w:p>
    <w:p>
      <w:pPr>
        <w:pStyle w:val="4"/>
        <w:spacing w:line="400" w:lineRule="exact"/>
        <w:rPr>
          <w:rFonts w:ascii="仿宋" w:hAnsi="仿宋" w:eastAsia="仿宋"/>
        </w:rPr>
      </w:pPr>
      <w:bookmarkStart w:id="32" w:name="_Toc14934"/>
      <w:bookmarkStart w:id="33" w:name="_Toc31468"/>
      <w:bookmarkStart w:id="34" w:name="_Toc44691163"/>
      <w:bookmarkStart w:id="35" w:name="_Toc73610156"/>
      <w:bookmarkStart w:id="36" w:name="_Toc44690704"/>
      <w:bookmarkStart w:id="37" w:name="_Toc11772"/>
      <w:bookmarkStart w:id="38" w:name="_Toc44690431"/>
      <w:bookmarkStart w:id="39" w:name="_Toc44691395"/>
      <w:bookmarkStart w:id="40" w:name="_Toc25194"/>
      <w:r>
        <w:rPr>
          <w:rFonts w:hint="eastAsia" w:ascii="仿宋" w:hAnsi="仿宋" w:eastAsia="仿宋"/>
        </w:rPr>
        <w:t>投标文件编制说明</w:t>
      </w:r>
      <w:bookmarkEnd w:id="32"/>
      <w:bookmarkEnd w:id="33"/>
      <w:bookmarkEnd w:id="34"/>
      <w:bookmarkEnd w:id="35"/>
      <w:bookmarkEnd w:id="36"/>
      <w:bookmarkEnd w:id="37"/>
      <w:bookmarkEnd w:id="38"/>
      <w:bookmarkEnd w:id="39"/>
      <w:bookmarkEnd w:id="40"/>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法定代表人证明书、法定代表人授权委托证明书和开标一览表（封包2）。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p>
    <w:p>
      <w:pPr>
        <w:spacing w:line="480" w:lineRule="auto"/>
        <w:ind w:firstLine="1275" w:firstLineChars="529"/>
        <w:rPr>
          <w:b/>
          <w:bCs/>
          <w:sz w:val="24"/>
          <w:u w:val="single"/>
        </w:rPr>
      </w:pPr>
      <w:r>
        <w:rPr>
          <w:rFonts w:hint="eastAsia"/>
          <w:b/>
          <w:bCs/>
          <w:sz w:val="24"/>
        </w:rPr>
        <w:t>项 目  编 号：</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p>
    <w:p>
      <w:pPr>
        <w:spacing w:line="480" w:lineRule="auto"/>
        <w:ind w:firstLine="1275" w:firstLineChars="529"/>
        <w:rPr>
          <w:b/>
          <w:bCs/>
          <w:sz w:val="24"/>
          <w:u w:val="dotted"/>
        </w:rPr>
      </w:pPr>
      <w:r>
        <w:rPr>
          <w:rFonts w:hint="eastAsia"/>
          <w:b/>
          <w:bCs/>
          <w:sz w:val="24"/>
        </w:rPr>
        <w:t>投   标   人：</w:t>
      </w:r>
    </w:p>
    <w:p>
      <w:pPr>
        <w:spacing w:line="480" w:lineRule="auto"/>
        <w:ind w:firstLine="1275" w:firstLineChars="529"/>
      </w:pPr>
      <w:r>
        <w:rPr>
          <w:rFonts w:hint="eastAsia"/>
          <w:b/>
          <w:bCs/>
          <w:sz w:val="24"/>
        </w:rPr>
        <w:t>日        期：年月日</w:t>
      </w:r>
    </w:p>
    <w:p>
      <w:pPr>
        <w:rPr>
          <w:b/>
          <w:bCs/>
        </w:rPr>
      </w:pPr>
    </w:p>
    <w:p>
      <w:pPr>
        <w:rPr>
          <w:b/>
          <w:bCs/>
        </w:rPr>
      </w:pPr>
      <w:bookmarkStart w:id="41" w:name="_投标文件格式（第一册）"/>
      <w:bookmarkEnd w:id="41"/>
      <w:bookmarkStart w:id="42" w:name="q0"/>
      <w:r>
        <w:rPr>
          <w:rFonts w:ascii="仿宋" w:hAnsi="仿宋" w:eastAsia="仿宋"/>
        </w:rPr>
        <w:br w:type="page"/>
      </w:r>
    </w:p>
    <w:p>
      <w:pPr>
        <w:pStyle w:val="4"/>
        <w:spacing w:line="400" w:lineRule="exact"/>
        <w:rPr>
          <w:rFonts w:ascii="仿宋" w:hAnsi="仿宋" w:eastAsia="仿宋"/>
        </w:rPr>
      </w:pPr>
    </w:p>
    <w:p>
      <w:pPr>
        <w:pStyle w:val="4"/>
        <w:spacing w:line="400" w:lineRule="exact"/>
        <w:rPr>
          <w:rFonts w:ascii="仿宋" w:hAnsi="仿宋" w:eastAsia="仿宋"/>
        </w:rPr>
      </w:pPr>
      <w:bookmarkStart w:id="43" w:name="_Toc73610157"/>
      <w:r>
        <w:rPr>
          <w:rFonts w:hint="eastAsia" w:ascii="仿宋" w:hAnsi="仿宋" w:eastAsia="仿宋"/>
        </w:rPr>
        <w:t>投标文件格式</w:t>
      </w:r>
      <w:bookmarkEnd w:id="43"/>
    </w:p>
    <w:bookmarkEnd w:id="42"/>
    <w:p>
      <w:pPr>
        <w:numPr>
          <w:ilvl w:val="0"/>
          <w:numId w:val="4"/>
        </w:numPr>
        <w:adjustRightInd w:val="0"/>
        <w:spacing w:line="360" w:lineRule="auto"/>
        <w:rPr>
          <w:rFonts w:hint="eastAsia" w:ascii="宋体" w:hAnsi="宋体"/>
          <w:snapToGrid w:val="0"/>
          <w:kern w:val="0"/>
          <w:szCs w:val="21"/>
        </w:rPr>
      </w:pPr>
      <w:r>
        <w:rPr>
          <w:rFonts w:hint="eastAsia" w:ascii="宋体" w:hAnsi="宋体"/>
          <w:snapToGrid w:val="0"/>
          <w:kern w:val="0"/>
          <w:szCs w:val="21"/>
        </w:rPr>
        <w:t>目录（自拟）</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政府采购违法行为风险知悉确认书</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评标指引表</w:t>
      </w:r>
    </w:p>
    <w:p>
      <w:pPr>
        <w:numPr>
          <w:ilvl w:val="0"/>
          <w:numId w:val="4"/>
        </w:numPr>
        <w:adjustRightInd w:val="0"/>
        <w:spacing w:line="360" w:lineRule="auto"/>
        <w:rPr>
          <w:snapToGrid w:val="0"/>
          <w:kern w:val="0"/>
          <w:szCs w:val="21"/>
        </w:rPr>
      </w:pPr>
      <w:r>
        <w:rPr>
          <w:rFonts w:hint="eastAsia"/>
          <w:snapToGrid w:val="0"/>
          <w:kern w:val="0"/>
          <w:szCs w:val="21"/>
        </w:rPr>
        <w:t>投标人资格证明文件（格式1）</w:t>
      </w:r>
    </w:p>
    <w:p>
      <w:pPr>
        <w:numPr>
          <w:ilvl w:val="0"/>
          <w:numId w:val="4"/>
        </w:numPr>
        <w:adjustRightInd w:val="0"/>
        <w:spacing w:line="360" w:lineRule="auto"/>
        <w:rPr>
          <w:snapToGrid w:val="0"/>
          <w:kern w:val="0"/>
          <w:szCs w:val="21"/>
        </w:rPr>
      </w:pPr>
      <w:r>
        <w:rPr>
          <w:rFonts w:hint="eastAsia"/>
          <w:snapToGrid w:val="0"/>
          <w:kern w:val="0"/>
          <w:szCs w:val="21"/>
        </w:rPr>
        <w:t>法定代表人（负责人）证明书及授权委托书</w:t>
      </w:r>
      <w:r>
        <w:rPr>
          <w:rFonts w:hint="eastAsia" w:ascii="宋体" w:hAnsi="宋体"/>
          <w:snapToGrid w:val="0"/>
          <w:kern w:val="0"/>
          <w:szCs w:val="21"/>
        </w:rPr>
        <w:t>（格式2）</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投标函（格式3）</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评分中涉及的承诺及声明函（格式4）</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开标一览表（格式5）</w:t>
      </w:r>
    </w:p>
    <w:p>
      <w:pPr>
        <w:adjustRightInd w:val="0"/>
        <w:spacing w:line="360" w:lineRule="auto"/>
        <w:ind w:firstLine="422" w:firstLineChars="200"/>
        <w:rPr>
          <w:rFonts w:ascii="宋体" w:hAnsi="宋体"/>
          <w:b/>
          <w:bCs/>
          <w:snapToGrid w:val="0"/>
          <w:kern w:val="0"/>
          <w:szCs w:val="21"/>
        </w:rPr>
      </w:pPr>
      <w:r>
        <w:rPr>
          <w:rFonts w:hint="eastAsia" w:ascii="宋体" w:hAnsi="宋体"/>
          <w:b/>
          <w:snapToGrid w:val="0"/>
          <w:kern w:val="0"/>
          <w:szCs w:val="21"/>
        </w:rPr>
        <w:t>注：此表应与“法定代表人（负责人）证明书、法定代表人（负责人）授权委托书”一起密封于一信封，在递交投标文件时单独交与</w:t>
      </w:r>
      <w:r>
        <w:rPr>
          <w:rFonts w:hint="eastAsia" w:ascii="宋体" w:hAnsi="宋体"/>
          <w:b/>
          <w:bCs/>
          <w:snapToGrid w:val="0"/>
          <w:kern w:val="0"/>
          <w:szCs w:val="21"/>
        </w:rPr>
        <w:t>采购代理机构。</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报价表（格式6）</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技术规格（格式7）</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交付进度（格式8）</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售后服务和质量承诺（格式9）</w:t>
      </w:r>
    </w:p>
    <w:p>
      <w:pPr>
        <w:numPr>
          <w:ilvl w:val="0"/>
          <w:numId w:val="4"/>
        </w:numPr>
        <w:adjustRightInd w:val="0"/>
        <w:spacing w:line="360" w:lineRule="auto"/>
        <w:rPr>
          <w:rFonts w:ascii="宋体" w:hAnsi="宋体"/>
          <w:snapToGrid w:val="0"/>
          <w:kern w:val="0"/>
          <w:szCs w:val="21"/>
        </w:rPr>
      </w:pPr>
      <w:r>
        <w:rPr>
          <w:rFonts w:ascii="宋体" w:hAnsi="宋体"/>
          <w:snapToGrid w:val="0"/>
          <w:kern w:val="0"/>
        </w:rPr>
        <w:t>投标人情况介绍</w:t>
      </w:r>
      <w:r>
        <w:rPr>
          <w:rFonts w:hint="eastAsia" w:ascii="宋体" w:hAnsi="宋体"/>
          <w:snapToGrid w:val="0"/>
          <w:kern w:val="0"/>
        </w:rPr>
        <w:t>（</w:t>
      </w:r>
      <w:r>
        <w:rPr>
          <w:rFonts w:ascii="宋体" w:hAnsi="宋体"/>
          <w:snapToGrid w:val="0"/>
          <w:kern w:val="0"/>
        </w:rPr>
        <w:t>格式</w:t>
      </w:r>
      <w:r>
        <w:rPr>
          <w:rFonts w:hint="eastAsia" w:ascii="宋体" w:hAnsi="宋体"/>
          <w:snapToGrid w:val="0"/>
          <w:kern w:val="0"/>
        </w:rPr>
        <w:t>10</w:t>
      </w:r>
      <w:r>
        <w:rPr>
          <w:rFonts w:ascii="宋体" w:hAnsi="宋体"/>
          <w:snapToGrid w:val="0"/>
          <w:kern w:val="0"/>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偏离</w:t>
      </w:r>
      <w:r>
        <w:rPr>
          <w:rFonts w:ascii="宋体" w:hAnsi="宋体"/>
          <w:snapToGrid w:val="0"/>
          <w:kern w:val="0"/>
          <w:szCs w:val="21"/>
        </w:rPr>
        <w:t>表（格式</w:t>
      </w:r>
      <w:r>
        <w:rPr>
          <w:rFonts w:hint="eastAsia" w:ascii="宋体" w:hAnsi="宋体"/>
          <w:snapToGrid w:val="0"/>
          <w:kern w:val="0"/>
          <w:szCs w:val="21"/>
        </w:rPr>
        <w:t>11</w:t>
      </w:r>
      <w:r>
        <w:rPr>
          <w:rFonts w:ascii="宋体" w:hAnsi="宋体"/>
          <w:snapToGrid w:val="0"/>
          <w:kern w:val="0"/>
          <w:szCs w:val="21"/>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rPr>
        <w:t>招标文件要求的其他资料或投标人认为需要补充的资料</w:t>
      </w:r>
      <w:r>
        <w:rPr>
          <w:rFonts w:hint="eastAsia" w:ascii="宋体" w:hAnsi="宋体"/>
          <w:snapToGrid w:val="0"/>
          <w:kern w:val="0"/>
          <w:szCs w:val="21"/>
        </w:rPr>
        <w:t>（格式12）</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ind w:hanging="2"/>
        <w:rPr>
          <w:b/>
          <w:bCs/>
          <w:sz w:val="28"/>
        </w:rPr>
      </w:pPr>
    </w:p>
    <w:p>
      <w:pPr>
        <w:ind w:hanging="2"/>
        <w:rPr>
          <w:b/>
          <w:bCs/>
          <w:sz w:val="28"/>
        </w:rPr>
      </w:pPr>
    </w:p>
    <w:p>
      <w:pPr>
        <w:ind w:hanging="2"/>
        <w:rPr>
          <w:b/>
          <w:bCs/>
          <w:sz w:val="28"/>
        </w:rPr>
      </w:pPr>
    </w:p>
    <w:p>
      <w:pPr>
        <w:ind w:hanging="2"/>
        <w:rPr>
          <w:b/>
          <w:bCs/>
          <w:sz w:val="28"/>
        </w:rPr>
      </w:pPr>
    </w:p>
    <w:p>
      <w:pPr>
        <w:ind w:hanging="2"/>
        <w:rPr>
          <w:b/>
          <w:bCs/>
          <w:sz w:val="28"/>
        </w:rPr>
      </w:pPr>
    </w:p>
    <w:p>
      <w:pPr>
        <w:pStyle w:val="4"/>
        <w:spacing w:line="400" w:lineRule="exact"/>
        <w:rPr>
          <w:rFonts w:hint="eastAsia" w:ascii="仿宋" w:hAnsi="仿宋" w:eastAsia="仿宋"/>
        </w:rPr>
      </w:pPr>
      <w:bookmarkStart w:id="44" w:name="_Toc110410306"/>
    </w:p>
    <w:p>
      <w:pPr>
        <w:pStyle w:val="4"/>
        <w:spacing w:line="400" w:lineRule="exact"/>
        <w:rPr>
          <w:rFonts w:hint="eastAsia" w:ascii="仿宋" w:hAnsi="仿宋" w:eastAsia="仿宋"/>
        </w:rPr>
      </w:pPr>
      <w:r>
        <w:rPr>
          <w:rFonts w:hint="eastAsia" w:ascii="仿宋" w:hAnsi="仿宋" w:eastAsia="仿宋"/>
        </w:rPr>
        <w:t>政府采购违法行为风险知悉确认书</w:t>
      </w:r>
      <w:bookmarkEnd w:id="44"/>
    </w:p>
    <w:p>
      <w:pPr>
        <w:spacing w:line="360" w:lineRule="auto"/>
        <w:ind w:firstLine="420" w:firstLineChars="200"/>
        <w:rPr>
          <w:rFonts w:ascii="宋体" w:hAnsi="宋体"/>
          <w:szCs w:val="21"/>
        </w:rPr>
      </w:pPr>
      <w:r>
        <w:rPr>
          <w:rFonts w:hint="eastAsia" w:ascii="宋体" w:hAnsi="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宋体" w:hAnsi="宋体"/>
          <w:b/>
          <w:szCs w:val="21"/>
        </w:rPr>
      </w:pPr>
      <w:r>
        <w:rPr>
          <w:rFonts w:hint="eastAsia" w:ascii="宋体" w:hAnsi="宋体"/>
          <w:b/>
          <w:szCs w:val="21"/>
        </w:rPr>
        <w:t>一、本公司已充分知悉“隐瞒真实情况，提供虚假资料”的法定情形，相关情形包括但不限于：</w:t>
      </w:r>
    </w:p>
    <w:p>
      <w:pPr>
        <w:spacing w:line="360" w:lineRule="auto"/>
        <w:ind w:firstLine="420" w:firstLineChars="200"/>
        <w:rPr>
          <w:rFonts w:ascii="宋体" w:hAnsi="宋体"/>
          <w:szCs w:val="21"/>
        </w:rPr>
      </w:pPr>
      <w:r>
        <w:rPr>
          <w:rFonts w:hint="eastAsia" w:ascii="宋体" w:hAnsi="宋体"/>
          <w:szCs w:val="21"/>
        </w:rPr>
        <w:t>（一）通过转让或者租借等方式从其他单位获取资格或者资质证书投标的。</w:t>
      </w:r>
    </w:p>
    <w:p>
      <w:pPr>
        <w:spacing w:line="360" w:lineRule="auto"/>
        <w:ind w:firstLine="420" w:firstLineChars="200"/>
        <w:rPr>
          <w:rFonts w:ascii="宋体" w:hAnsi="宋体"/>
          <w:szCs w:val="21"/>
        </w:rPr>
      </w:pPr>
      <w:r>
        <w:rPr>
          <w:rFonts w:hint="eastAsia" w:ascii="宋体" w:hAnsi="宋体"/>
          <w:szCs w:val="21"/>
        </w:rPr>
        <w:t>（二）由其他单位或者其他单位负责人在投标供应商编制的投标文件上加盖印章或者签字的。</w:t>
      </w:r>
    </w:p>
    <w:p>
      <w:pPr>
        <w:spacing w:line="360" w:lineRule="auto"/>
        <w:ind w:firstLine="420" w:firstLineChars="200"/>
        <w:rPr>
          <w:rFonts w:ascii="宋体" w:hAnsi="宋体"/>
          <w:szCs w:val="21"/>
        </w:rPr>
      </w:pPr>
      <w:r>
        <w:rPr>
          <w:rFonts w:hint="eastAsia" w:ascii="宋体" w:hAnsi="宋体"/>
          <w:szCs w:val="21"/>
        </w:rPr>
        <w:t>（三）项目负责人或者主要技术人员不是本单位人员的。</w:t>
      </w:r>
    </w:p>
    <w:p>
      <w:pPr>
        <w:spacing w:line="360" w:lineRule="auto"/>
        <w:ind w:firstLine="420" w:firstLineChars="200"/>
        <w:rPr>
          <w:rFonts w:ascii="宋体" w:hAnsi="宋体"/>
          <w:szCs w:val="21"/>
        </w:rPr>
      </w:pPr>
      <w:r>
        <w:rPr>
          <w:rFonts w:hint="eastAsia" w:ascii="宋体" w:hAnsi="宋体"/>
          <w:szCs w:val="21"/>
        </w:rPr>
        <w:t>（四）投标保证金不是从投标供应商基本账户转出的。</w:t>
      </w:r>
    </w:p>
    <w:p>
      <w:pPr>
        <w:spacing w:line="360" w:lineRule="auto"/>
        <w:ind w:firstLine="420" w:firstLineChars="200"/>
        <w:rPr>
          <w:rFonts w:ascii="宋体" w:hAnsi="宋体"/>
          <w:szCs w:val="21"/>
        </w:rPr>
      </w:pPr>
      <w:r>
        <w:rPr>
          <w:rFonts w:hint="eastAsia" w:ascii="宋体" w:hAnsi="宋体"/>
          <w:szCs w:val="21"/>
        </w:rPr>
        <w:t>（五）其他隐瞒真实情况、提供虚假资料的行为。</w:t>
      </w:r>
    </w:p>
    <w:p>
      <w:pPr>
        <w:spacing w:line="360" w:lineRule="auto"/>
        <w:ind w:firstLine="422" w:firstLineChars="200"/>
        <w:rPr>
          <w:rFonts w:ascii="宋体" w:hAnsi="宋体"/>
          <w:b/>
          <w:szCs w:val="21"/>
        </w:rPr>
      </w:pPr>
      <w:r>
        <w:rPr>
          <w:rFonts w:hint="eastAsia" w:ascii="宋体" w:hAnsi="宋体"/>
          <w:b/>
          <w:szCs w:val="21"/>
        </w:rPr>
        <w:t>二、本公司已充分知悉“与其他采购参加人串通投标”的法定情形，相关情形包括但不限于：</w:t>
      </w:r>
    </w:p>
    <w:p>
      <w:pPr>
        <w:spacing w:line="360" w:lineRule="auto"/>
        <w:ind w:firstLine="420" w:firstLineChars="200"/>
        <w:rPr>
          <w:rFonts w:ascii="宋体" w:hAnsi="宋体"/>
          <w:szCs w:val="21"/>
        </w:rPr>
      </w:pPr>
      <w:r>
        <w:rPr>
          <w:rFonts w:hint="eastAsia" w:ascii="宋体" w:hAnsi="宋体"/>
          <w:szCs w:val="21"/>
        </w:rPr>
        <w:t>（一）投标供应商之间相互约定给予未中标的供应商利益补偿。</w:t>
      </w:r>
    </w:p>
    <w:p>
      <w:pPr>
        <w:spacing w:line="360" w:lineRule="auto"/>
        <w:ind w:firstLine="420" w:firstLineChars="200"/>
        <w:rPr>
          <w:rFonts w:ascii="宋体" w:hAnsi="宋体"/>
          <w:szCs w:val="21"/>
        </w:rPr>
      </w:pPr>
      <w:r>
        <w:rPr>
          <w:rFonts w:hint="eastAsia" w:ascii="宋体" w:hAnsi="宋体"/>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szCs w:val="21"/>
        </w:rPr>
      </w:pPr>
      <w:r>
        <w:rPr>
          <w:rFonts w:hint="eastAsia" w:ascii="宋体" w:hAnsi="宋体"/>
          <w:szCs w:val="21"/>
        </w:rPr>
        <w:t>（三）不同投标供应商的投标文件由同一单位或者同一人编制，或者由同一人分阶段参与编制的。</w:t>
      </w:r>
    </w:p>
    <w:p>
      <w:pPr>
        <w:spacing w:line="360" w:lineRule="auto"/>
        <w:ind w:firstLine="420" w:firstLineChars="200"/>
        <w:rPr>
          <w:rFonts w:ascii="宋体" w:hAnsi="宋体"/>
          <w:szCs w:val="21"/>
        </w:rPr>
      </w:pPr>
      <w:r>
        <w:rPr>
          <w:rFonts w:hint="eastAsia" w:ascii="宋体" w:hAnsi="宋体"/>
          <w:szCs w:val="21"/>
        </w:rPr>
        <w:t>（四）不同投标供应商的投标文件或部分投标文件相互混装。</w:t>
      </w:r>
    </w:p>
    <w:p>
      <w:pPr>
        <w:spacing w:line="360" w:lineRule="auto"/>
        <w:ind w:firstLine="420" w:firstLineChars="200"/>
        <w:rPr>
          <w:rFonts w:ascii="宋体" w:hAnsi="宋体"/>
          <w:szCs w:val="21"/>
        </w:rPr>
      </w:pPr>
      <w:r>
        <w:rPr>
          <w:rFonts w:hint="eastAsia" w:ascii="宋体" w:hAnsi="宋体"/>
          <w:szCs w:val="21"/>
        </w:rPr>
        <w:t>（五）不同投标供应商的投标文件内容存在非正常一致。</w:t>
      </w:r>
    </w:p>
    <w:p>
      <w:pPr>
        <w:spacing w:line="360" w:lineRule="auto"/>
        <w:ind w:firstLine="420" w:firstLineChars="200"/>
        <w:rPr>
          <w:rFonts w:ascii="宋体" w:hAnsi="宋体"/>
          <w:szCs w:val="21"/>
        </w:rPr>
      </w:pPr>
      <w:r>
        <w:rPr>
          <w:rFonts w:hint="eastAsia" w:ascii="宋体" w:hAnsi="宋体"/>
          <w:szCs w:val="21"/>
        </w:rPr>
        <w:t>（六）由同一单位工作人员为两家以上（含两家）供应商进行同一项投标活动的。</w:t>
      </w:r>
    </w:p>
    <w:p>
      <w:pPr>
        <w:spacing w:line="360" w:lineRule="auto"/>
        <w:ind w:firstLine="420" w:firstLineChars="200"/>
        <w:rPr>
          <w:rFonts w:ascii="宋体" w:hAnsi="宋体"/>
          <w:szCs w:val="21"/>
        </w:rPr>
      </w:pPr>
      <w:r>
        <w:rPr>
          <w:rFonts w:hint="eastAsia" w:ascii="宋体" w:hAnsi="宋体"/>
          <w:szCs w:val="21"/>
        </w:rPr>
        <w:t>（七）不同投标人的投标报价呈规律性差异。</w:t>
      </w:r>
    </w:p>
    <w:p>
      <w:pPr>
        <w:spacing w:line="360" w:lineRule="auto"/>
        <w:ind w:firstLine="420" w:firstLineChars="200"/>
        <w:rPr>
          <w:rFonts w:ascii="宋体" w:hAnsi="宋体"/>
          <w:szCs w:val="21"/>
        </w:rPr>
      </w:pPr>
      <w:r>
        <w:rPr>
          <w:rFonts w:hint="eastAsia" w:ascii="宋体" w:hAnsi="宋体"/>
          <w:szCs w:val="21"/>
        </w:rPr>
        <w:t>（八）不同投标人的投标保证金从同一单位或者个人的账户转出。</w:t>
      </w:r>
    </w:p>
    <w:p>
      <w:pPr>
        <w:spacing w:line="360" w:lineRule="auto"/>
        <w:ind w:firstLine="420" w:firstLineChars="200"/>
        <w:rPr>
          <w:rFonts w:ascii="宋体" w:hAnsi="宋体"/>
          <w:szCs w:val="21"/>
        </w:rPr>
      </w:pPr>
      <w:r>
        <w:rPr>
          <w:rFonts w:hint="eastAsia" w:ascii="宋体" w:hAnsi="宋体"/>
          <w:szCs w:val="21"/>
        </w:rPr>
        <w:t>（九）主管部门依照法律、法规认定的其他情形。</w:t>
      </w:r>
    </w:p>
    <w:p>
      <w:pPr>
        <w:spacing w:line="360" w:lineRule="auto"/>
        <w:ind w:firstLine="422" w:firstLineChars="200"/>
        <w:rPr>
          <w:rFonts w:ascii="宋体" w:hAnsi="宋体"/>
          <w:b/>
          <w:szCs w:val="21"/>
        </w:rPr>
      </w:pPr>
      <w:r>
        <w:rPr>
          <w:rFonts w:hint="eastAsia" w:ascii="宋体" w:hAnsi="宋体"/>
          <w:b/>
          <w:szCs w:val="21"/>
        </w:rPr>
        <w:t>三、本公司已充分知悉下列情形所对应的法律风险，并在投标前已对相关风险事项进行排查。</w:t>
      </w:r>
    </w:p>
    <w:p>
      <w:pPr>
        <w:spacing w:line="360" w:lineRule="auto"/>
        <w:ind w:firstLine="420" w:firstLineChars="200"/>
        <w:rPr>
          <w:rFonts w:ascii="宋体" w:hAnsi="宋体"/>
          <w:b/>
          <w:szCs w:val="21"/>
        </w:rPr>
      </w:pPr>
      <w:r>
        <w:rPr>
          <w:rFonts w:hint="eastAsia" w:ascii="宋体" w:hAnsi="宋体"/>
          <w:szCs w:val="21"/>
        </w:rPr>
        <w:t>（一）对于从其他主体获取的投标资料，供应商应审慎核查，确保投标资料的真实性。</w:t>
      </w:r>
      <w:r>
        <w:rPr>
          <w:rFonts w:hint="eastAsia" w:ascii="宋体" w:hAnsi="宋体"/>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szCs w:val="21"/>
        </w:rPr>
      </w:pPr>
      <w:r>
        <w:rPr>
          <w:rFonts w:hint="eastAsia" w:ascii="宋体" w:hAnsi="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szCs w:val="21"/>
        </w:rPr>
      </w:pPr>
      <w:r>
        <w:rPr>
          <w:rFonts w:hint="eastAsia" w:ascii="宋体" w:hAnsi="宋体"/>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szCs w:val="21"/>
        </w:rPr>
      </w:pPr>
      <w:r>
        <w:rPr>
          <w:rFonts w:hint="eastAsia" w:ascii="宋体" w:hAnsi="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szCs w:val="21"/>
        </w:rPr>
      </w:pPr>
      <w:r>
        <w:rPr>
          <w:rFonts w:hint="eastAsia" w:ascii="宋体" w:hAnsi="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szCs w:val="21"/>
        </w:rPr>
      </w:pPr>
      <w:r>
        <w:rPr>
          <w:rFonts w:hint="eastAsia" w:ascii="宋体" w:hAnsi="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宋体" w:hAnsi="宋体"/>
          <w:szCs w:val="21"/>
        </w:rPr>
      </w:pPr>
      <w:r>
        <w:rPr>
          <w:rFonts w:hint="eastAsia" w:ascii="宋体" w:hAnsi="宋体"/>
          <w:b/>
          <w:szCs w:val="21"/>
        </w:rPr>
        <w:t>四、本公司已充分知悉政府采购违法、违规行为的法律后果。</w:t>
      </w:r>
      <w:r>
        <w:rPr>
          <w:rFonts w:hint="eastAsia" w:ascii="宋体" w:hAnsi="宋体"/>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hint="eastAsia" w:ascii="宋体" w:hAnsi="宋体"/>
          <w:b/>
          <w:szCs w:val="21"/>
        </w:rPr>
      </w:pPr>
      <w:r>
        <w:rPr>
          <w:rFonts w:hint="eastAsia" w:ascii="宋体" w:hAnsi="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hint="eastAsia"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hint="eastAsia"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hint="eastAsia"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ind w:firstLine="420" w:firstLineChars="200"/>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rPr>
        <w:t>负责人</w:t>
      </w:r>
      <w:r>
        <w:rPr>
          <w:rFonts w:ascii="宋体" w:hAnsi="宋体"/>
          <w:szCs w:val="21"/>
        </w:rPr>
        <w:t>/</w:t>
      </w:r>
      <w:r>
        <w:rPr>
          <w:rFonts w:hint="eastAsia" w:ascii="宋体" w:hAnsi="宋体"/>
          <w:szCs w:val="21"/>
        </w:rPr>
        <w:t>投标授权代表签名：</w:t>
      </w:r>
    </w:p>
    <w:p>
      <w:pPr>
        <w:spacing w:line="360" w:lineRule="auto"/>
        <w:ind w:firstLine="420" w:firstLineChars="200"/>
        <w:rPr>
          <w:rFonts w:ascii="宋体" w:hAnsi="宋体"/>
          <w:szCs w:val="21"/>
        </w:rPr>
      </w:pPr>
      <w:r>
        <w:rPr>
          <w:rFonts w:hint="eastAsia" w:ascii="宋体" w:hAnsi="宋体"/>
          <w:szCs w:val="21"/>
        </w:rPr>
        <w:t>知悉人（公章）：</w:t>
      </w:r>
    </w:p>
    <w:p>
      <w:pPr>
        <w:ind w:left="210" w:leftChars="100" w:firstLine="207" w:firstLineChars="99"/>
        <w:rPr>
          <w:b/>
          <w:bCs/>
          <w:sz w:val="28"/>
        </w:rPr>
      </w:pPr>
      <w:r>
        <w:rPr>
          <w:rFonts w:hint="eastAsia" w:ascii="宋体" w:hAnsi="宋体"/>
          <w:szCs w:val="21"/>
        </w:rPr>
        <w:t>日期：</w:t>
      </w:r>
    </w:p>
    <w:p>
      <w:pPr>
        <w:adjustRightInd w:val="0"/>
        <w:snapToGrid w:val="0"/>
        <w:spacing w:line="300" w:lineRule="auto"/>
        <w:jc w:val="center"/>
      </w:pPr>
      <w:bookmarkStart w:id="45" w:name="_格式1__投标人资格证明文件"/>
      <w:bookmarkEnd w:id="45"/>
      <w:r>
        <w:br w:type="page"/>
      </w:r>
    </w:p>
    <w:p>
      <w:pPr>
        <w:adjustRightInd w:val="0"/>
        <w:snapToGrid w:val="0"/>
        <w:spacing w:line="300" w:lineRule="auto"/>
        <w:jc w:val="center"/>
      </w:pPr>
    </w:p>
    <w:p>
      <w:pPr>
        <w:pStyle w:val="4"/>
        <w:spacing w:line="400" w:lineRule="exact"/>
        <w:rPr>
          <w:rFonts w:ascii="仿宋" w:hAnsi="仿宋" w:eastAsia="仿宋"/>
        </w:rPr>
      </w:pPr>
      <w:bookmarkStart w:id="46" w:name="_Toc73610158"/>
      <w:r>
        <w:rPr>
          <w:rFonts w:hint="eastAsia" w:ascii="仿宋" w:hAnsi="仿宋" w:eastAsia="仿宋"/>
        </w:rPr>
        <w:t>评标指引表</w:t>
      </w:r>
      <w:bookmarkEnd w:id="46"/>
    </w:p>
    <w:p>
      <w:pPr>
        <w:jc w:val="center"/>
        <w:rPr>
          <w:b/>
          <w:szCs w:val="21"/>
        </w:rPr>
      </w:pPr>
    </w:p>
    <w:p>
      <w:pPr>
        <w:spacing w:line="360" w:lineRule="auto"/>
        <w:ind w:firstLine="420" w:firstLineChars="200"/>
        <w:rPr>
          <w:rFonts w:ascii="宋体" w:hAnsi="宋体"/>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auto"/>
        <w:ind w:firstLine="420" w:firstLineChars="200"/>
        <w:rPr>
          <w:rFonts w:ascii="宋体" w:hAnsi="宋体"/>
          <w:szCs w:val="21"/>
        </w:rPr>
      </w:pP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zCs w:val="21"/>
              </w:rPr>
              <w:t>《节能产品政府采购品目清单》或《环境标志产品政府采购品目清单》中列示的产品，或</w:t>
            </w: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w:t>
            </w:r>
            <w:r>
              <w:rPr>
                <w:rFonts w:hint="eastAsia" w:asciiTheme="minorEastAsia" w:hAnsiTheme="minorEastAsia" w:eastAsiaTheme="minorEastAsia"/>
                <w:bCs/>
                <w:szCs w:val="21"/>
              </w:rPr>
              <w:t>优惠政策。</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6"/>
        <w:spacing w:line="360" w:lineRule="auto"/>
        <w:ind w:firstLine="424" w:firstLineChars="201"/>
        <w:rPr>
          <w:rFonts w:hAnsi="宋体"/>
          <w:b/>
          <w:szCs w:val="21"/>
        </w:rPr>
      </w:pPr>
    </w:p>
    <w:p>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3"/>
        <w:jc w:val="center"/>
      </w:pPr>
    </w:p>
    <w:p/>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47" w:name="_Toc44690432"/>
      <w:bookmarkStart w:id="48" w:name="_Toc44691396"/>
      <w:bookmarkStart w:id="49" w:name="_Toc44691164"/>
      <w:bookmarkStart w:id="50" w:name="_Toc44690705"/>
      <w:r>
        <w:rPr>
          <w:rFonts w:hint="eastAsia" w:asciiTheme="minorEastAsia" w:hAnsiTheme="minorEastAsia" w:eastAsiaTheme="minorEastAsia"/>
          <w:sz w:val="24"/>
        </w:rPr>
        <w:t>格式1  投标人资格证明文件</w:t>
      </w:r>
      <w:bookmarkEnd w:id="47"/>
      <w:bookmarkEnd w:id="48"/>
      <w:bookmarkEnd w:id="49"/>
      <w:bookmarkEnd w:id="50"/>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3、股东构成审查表</w:t>
      </w:r>
    </w:p>
    <w:p>
      <w:pPr>
        <w:adjustRightInd w:val="0"/>
        <w:snapToGrid w:val="0"/>
        <w:spacing w:line="360" w:lineRule="auto"/>
        <w:ind w:firstLine="424" w:firstLineChars="202"/>
        <w:rPr>
          <w:rFonts w:ascii="宋体" w:hAnsi="宋体"/>
        </w:rPr>
      </w:pPr>
      <w:r>
        <w:rPr>
          <w:rFonts w:hint="eastAsia" w:ascii="宋体" w:hAnsi="宋体"/>
        </w:rPr>
        <w:t>4、其它资格证明材料（如有，按第一章投标邀请“申请人的资格要求”提供）</w:t>
      </w:r>
    </w:p>
    <w:p>
      <w:pPr>
        <w:adjustRightInd w:val="0"/>
        <w:snapToGrid w:val="0"/>
        <w:spacing w:line="360" w:lineRule="auto"/>
        <w:rPr>
          <w:rFonts w:ascii="宋体" w:hAnsi="宋体"/>
          <w:bCs/>
          <w:snapToGrid w:val="0"/>
          <w:kern w:val="0"/>
        </w:rPr>
      </w:pPr>
    </w:p>
    <w:p>
      <w:pPr>
        <w:adjustRightInd w:val="0"/>
        <w:snapToGrid w:val="0"/>
        <w:spacing w:line="360" w:lineRule="auto"/>
        <w:ind w:firstLine="424" w:firstLineChars="201"/>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widowControl/>
        <w:jc w:val="left"/>
        <w:rPr>
          <w:b/>
          <w:snapToGrid w:val="0"/>
          <w:sz w:val="32"/>
          <w:szCs w:val="32"/>
        </w:rPr>
      </w:pPr>
      <w:r>
        <w:rPr>
          <w:b/>
          <w:snapToGrid w:val="0"/>
          <w:sz w:val="32"/>
          <w:szCs w:val="32"/>
        </w:rPr>
        <w:br w:type="page"/>
      </w:r>
    </w:p>
    <w:p>
      <w:pPr>
        <w:adjustRightInd w:val="0"/>
        <w:snapToGrid w:val="0"/>
        <w:spacing w:line="300" w:lineRule="auto"/>
        <w:jc w:val="center"/>
        <w:rPr>
          <w:b/>
          <w:snapToGrid w:val="0"/>
          <w:sz w:val="32"/>
          <w:szCs w:val="32"/>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r>
        <w:br w:type="page"/>
      </w:r>
    </w:p>
    <w:p>
      <w:pPr>
        <w:adjustRightInd w:val="0"/>
        <w:snapToGrid w:val="0"/>
        <w:spacing w:line="360" w:lineRule="auto"/>
        <w:ind w:firstLine="600"/>
        <w:jc w:val="right"/>
      </w:pPr>
    </w:p>
    <w:p>
      <w:pPr>
        <w:pStyle w:val="3"/>
        <w:spacing w:before="0" w:after="0" w:line="360" w:lineRule="auto"/>
        <w:jc w:val="center"/>
        <w:rPr>
          <w:rFonts w:asciiTheme="minorEastAsia" w:hAnsiTheme="minorEastAsia" w:eastAsiaTheme="minorEastAsia"/>
          <w:kern w:val="0"/>
          <w:sz w:val="28"/>
          <w:szCs w:val="28"/>
        </w:rPr>
      </w:pPr>
      <w:bookmarkStart w:id="51" w:name="_Toc73610159"/>
      <w:r>
        <w:rPr>
          <w:rFonts w:hint="eastAsia" w:asciiTheme="minorEastAsia" w:hAnsiTheme="minorEastAsia" w:eastAsiaTheme="minorEastAsia"/>
          <w:kern w:val="0"/>
          <w:sz w:val="28"/>
          <w:szCs w:val="28"/>
        </w:rPr>
        <w:t>股东构成审查表</w:t>
      </w:r>
      <w:bookmarkEnd w:id="51"/>
    </w:p>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napToGrid w:val="0"/>
          <w:szCs w:val="21"/>
        </w:rPr>
        <w:t>项目</w:t>
      </w:r>
      <w:r>
        <w:rPr>
          <w:rFonts w:hint="eastAsia" w:asciiTheme="minorEastAsia" w:hAnsiTheme="minorEastAsia" w:eastAsiaTheme="minorEastAsia"/>
          <w:szCs w:val="21"/>
        </w:rPr>
        <w:t>名称：</w:t>
      </w:r>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zCs w:val="21"/>
        </w:rPr>
        <w:t>项目编号：</w:t>
      </w:r>
    </w:p>
    <w:tbl>
      <w:tblPr>
        <w:tblStyle w:val="50"/>
        <w:tblW w:w="10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244"/>
        <w:gridCol w:w="1748"/>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101"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524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投标人股东构成审查内容</w:t>
            </w:r>
          </w:p>
        </w:tc>
        <w:tc>
          <w:tcPr>
            <w:tcW w:w="1748"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投标人响应情况</w:t>
            </w:r>
          </w:p>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（是或否）</w:t>
            </w:r>
          </w:p>
        </w:tc>
        <w:tc>
          <w:tcPr>
            <w:tcW w:w="2222"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是否存在“与投标供应商单位负责人（法定代表人）为同一人的不同单位”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是否存在“与投标供应商存在管理关系的不同单位”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投标供应商是否有控股的子公司</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股东情况：控股投标供应商的股东名单</w:t>
            </w:r>
          </w:p>
        </w:tc>
        <w:tc>
          <w:tcPr>
            <w:tcW w:w="1748"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2222" w:type="dxa"/>
            <w:vAlign w:val="center"/>
          </w:tcPr>
          <w:p>
            <w:pPr>
              <w:spacing w:line="360" w:lineRule="auto"/>
              <w:jc w:val="center"/>
              <w:rPr>
                <w:rFonts w:asciiTheme="minorEastAsia" w:hAnsiTheme="minorEastAsia" w:eastAsiaTheme="minorEastAsia"/>
                <w:szCs w:val="21"/>
              </w:rPr>
            </w:pPr>
          </w:p>
        </w:tc>
      </w:tr>
    </w:tbl>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注：</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1、响应情况为“是”，需在“名单”栏中提供相应的单位、子公司和股东的名单；响应情况为“否”，在“名单”栏填写“无”；第4项“股东情况”无需填写响应情况，仅需列明股东名单即可（如有）。</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2、管理关系是指：投标供应商与特定企业之间因通过间接控股、投资关系、协议或者其他安排，存在实际管理关系。</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spacing w:line="360" w:lineRule="auto"/>
        <w:rPr>
          <w:rFonts w:ascii="仿宋_GB2312" w:eastAsia="仿宋_GB2312" w:hAnsiTheme="minorEastAsia"/>
          <w:b/>
          <w:color w:val="FF0000"/>
          <w:sz w:val="24"/>
        </w:rPr>
      </w:pPr>
      <w:r>
        <w:rPr>
          <w:rFonts w:hint="eastAsia" w:ascii="仿宋_GB2312" w:eastAsia="仿宋_GB2312" w:hAnsiTheme="minorEastAsia"/>
          <w:b/>
          <w:color w:val="FF0000"/>
          <w:sz w:val="24"/>
        </w:rPr>
        <w:t>根据《中华人民共和国政府采购法实施条例》第十八条规定：“单位负责人为同一人或者存在直接控股、管理关系的不同供应商，不得参加同一合同项下的政府采购活动。”</w:t>
      </w:r>
    </w:p>
    <w:p>
      <w:pPr>
        <w:spacing w:line="300" w:lineRule="auto"/>
        <w:rPr>
          <w:rFonts w:asciiTheme="minorEastAsia" w:hAnsiTheme="minorEastAsia" w:eastAsiaTheme="minorEastAsia"/>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投标单位：（盖章）</w:t>
      </w: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授权代表或法定代表人：（签字）</w:t>
      </w:r>
    </w:p>
    <w:p>
      <w:pPr>
        <w:spacing w:line="360" w:lineRule="auto"/>
        <w:ind w:firstLine="600"/>
        <w:jc w:val="right"/>
        <w:rPr>
          <w:b/>
          <w:snapToGrid w:val="0"/>
          <w:sz w:val="32"/>
          <w:szCs w:val="32"/>
        </w:rPr>
      </w:pPr>
      <w:r>
        <w:rPr>
          <w:rFonts w:hint="eastAsia" w:asciiTheme="minorEastAsia" w:hAnsiTheme="minorEastAsia" w:eastAsiaTheme="minorEastAsia"/>
          <w:szCs w:val="21"/>
        </w:rPr>
        <w:t>年     月    日</w:t>
      </w:r>
      <w:r>
        <w:rPr>
          <w:b/>
          <w:snapToGrid w:val="0"/>
          <w:sz w:val="32"/>
          <w:szCs w:val="32"/>
        </w:rPr>
        <w:br w:type="page"/>
      </w:r>
    </w:p>
    <w:p>
      <w:pPr>
        <w:adjustRightInd w:val="0"/>
        <w:snapToGrid w:val="0"/>
        <w:spacing w:line="300" w:lineRule="auto"/>
        <w:jc w:val="center"/>
        <w:rPr>
          <w:b/>
          <w:snapToGrid w:val="0"/>
          <w:sz w:val="32"/>
          <w:szCs w:val="32"/>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法定代表人证明书及授权委托书</w:t>
      </w:r>
    </w:p>
    <w:p>
      <w:pPr>
        <w:adjustRightInd w:val="0"/>
        <w:snapToGrid w:val="0"/>
        <w:spacing w:line="300" w:lineRule="auto"/>
        <w:jc w:val="center"/>
        <w:rPr>
          <w:b/>
          <w:snapToGrid w:val="0"/>
          <w:sz w:val="32"/>
          <w:szCs w:val="32"/>
        </w:rPr>
      </w:pPr>
    </w:p>
    <w:p>
      <w:pPr>
        <w:tabs>
          <w:tab w:val="left" w:pos="450"/>
        </w:tabs>
        <w:jc w:val="center"/>
        <w:rPr>
          <w:rFonts w:ascii="宋体" w:hAnsi="宋体"/>
          <w:b/>
          <w:sz w:val="28"/>
          <w:szCs w:val="28"/>
        </w:rPr>
      </w:pPr>
      <w:r>
        <w:rPr>
          <w:rFonts w:hint="eastAsia" w:ascii="宋体" w:hAnsi="宋体"/>
          <w:b/>
          <w:sz w:val="28"/>
          <w:szCs w:val="28"/>
        </w:rPr>
        <w:t>法定代表人证明书（参考）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______________同志，现任我单位职务，为法定代表人，特此证明。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有效日期与本公司投标文件中标注的投标有效期相同。签发日期：年月日</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w:pict>
          <v:rect id="Rectangle 5" o:spid="_x0000_s3096" o:spt="1" style="position:absolute;left:0pt;margin-left:250.65pt;margin-top:10.75pt;height:156pt;width:243pt;z-index:251678720;mso-width-relative:page;mso-height-relative:page;" coordsize="21600,21600">
            <v:path/>
            <v:fill focussize="0,0"/>
            <v:stroke/>
            <v:imagedata o:title=""/>
            <o:lock v:ext="edit"/>
            <v:textbox>
              <w:txbxContent>
                <w:p>
                  <w:pPr>
                    <w:ind w:firstLine="1260" w:firstLineChars="600"/>
                  </w:pPr>
                  <w:r>
                    <w:rPr>
                      <w:rFonts w:hint="eastAsia"/>
                    </w:rPr>
                    <w:t xml:space="preserve">     法定代表人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w:r>
      <w:r>
        <w:rPr>
          <w:rFonts w:ascii="宋体"/>
          <w:b/>
          <w:bCs/>
        </w:rPr>
        <w:pict>
          <v:rect id="Rectangle 4" o:spid="_x0000_s3095" o:spt="1" style="position:absolute;left:0pt;margin-left:-11.85pt;margin-top:10.75pt;height:156pt;width:243pt;z-index:251677696;mso-width-relative:page;mso-height-relative:page;" coordsize="21600,21600">
            <v:path/>
            <v:fill focussize="0,0"/>
            <v:stroke/>
            <v:imagedata o:title=""/>
            <o:lock v:ext="edit"/>
            <v:textbox>
              <w:txbxContent>
                <w:p>
                  <w:pPr>
                    <w:ind w:firstLine="1260" w:firstLineChars="600"/>
                    <w:jc w:val="left"/>
                  </w:pPr>
                  <w:r>
                    <w:rPr>
                      <w:rFonts w:hint="eastAsia"/>
                    </w:rPr>
                    <w:t xml:space="preserve">     法定代表人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360" w:lineRule="auto"/>
        <w:ind w:firstLine="539" w:firstLineChars="257"/>
      </w:pPr>
    </w:p>
    <w:p>
      <w:pPr>
        <w:spacing w:line="360" w:lineRule="auto"/>
        <w:ind w:firstLine="539" w:firstLineChars="257"/>
      </w:pPr>
      <w:r>
        <w:rPr>
          <w:rFonts w:hint="eastAsia"/>
        </w:rPr>
        <w:t>单位名称：（公章）：</w:t>
      </w:r>
    </w:p>
    <w:p>
      <w:pPr>
        <w:spacing w:line="360" w:lineRule="auto"/>
        <w:ind w:firstLine="539" w:firstLineChars="257"/>
      </w:pPr>
    </w:p>
    <w:p>
      <w:pPr>
        <w:spacing w:line="360" w:lineRule="auto"/>
        <w:ind w:firstLine="539" w:firstLineChars="257"/>
      </w:pPr>
      <w:r>
        <w:rPr>
          <w:rFonts w:hint="eastAsia"/>
        </w:rPr>
        <w:t>日期：年月 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法定代表人授权委托证明书（参考）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            性别：</w:t>
      </w:r>
    </w:p>
    <w:p>
      <w:pPr>
        <w:adjustRightInd w:val="0"/>
        <w:snapToGrid w:val="0"/>
        <w:spacing w:line="360" w:lineRule="auto"/>
        <w:ind w:firstLine="629"/>
        <w:rPr>
          <w:b/>
          <w:bCs/>
        </w:rPr>
      </w:pPr>
      <w:r>
        <w:rPr>
          <w:rFonts w:hint="eastAsia"/>
        </w:rPr>
        <w:t>年龄：</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p>
    <w:p>
      <w:pPr>
        <w:adjustRightInd w:val="0"/>
        <w:snapToGrid w:val="0"/>
        <w:spacing w:line="360" w:lineRule="auto"/>
        <w:ind w:firstLine="629"/>
      </w:pPr>
      <w:r>
        <w:rPr>
          <w:rFonts w:hint="eastAsia"/>
        </w:rPr>
        <w:t>通讯地址：</w:t>
      </w:r>
    </w:p>
    <w:p>
      <w:pPr>
        <w:adjustRightInd w:val="0"/>
        <w:snapToGrid w:val="0"/>
        <w:spacing w:line="360" w:lineRule="auto"/>
        <w:ind w:firstLine="629"/>
      </w:pPr>
      <w:r>
        <w:rPr>
          <w:rFonts w:hint="eastAsia"/>
        </w:rPr>
        <w:t>电话：</w:t>
      </w:r>
    </w:p>
    <w:p>
      <w:pPr>
        <w:adjustRightInd w:val="0"/>
        <w:snapToGrid w:val="0"/>
        <w:spacing w:line="360" w:lineRule="auto"/>
        <w:ind w:firstLine="629"/>
      </w:pPr>
    </w:p>
    <w:p>
      <w:pPr>
        <w:ind w:firstLine="630"/>
      </w:pPr>
      <w:r>
        <w:rPr>
          <w:rFonts w:hint="eastAsia"/>
        </w:rPr>
        <w:t>单位名称：（公章）</w:t>
      </w:r>
    </w:p>
    <w:p>
      <w:pPr>
        <w:ind w:firstLine="630"/>
      </w:pPr>
    </w:p>
    <w:p>
      <w:pPr>
        <w:ind w:firstLine="630"/>
      </w:pPr>
      <w:r>
        <w:rPr>
          <w:rFonts w:hint="eastAsia"/>
        </w:rPr>
        <w:t>法定代表人：（签字）</w:t>
      </w:r>
    </w:p>
    <w:p>
      <w:pPr>
        <w:ind w:firstLine="630"/>
      </w:pPr>
    </w:p>
    <w:p>
      <w:pPr>
        <w:adjustRightInd w:val="0"/>
        <w:snapToGrid w:val="0"/>
        <w:spacing w:line="300" w:lineRule="auto"/>
        <w:ind w:firstLine="5317" w:firstLineChars="2532"/>
      </w:pPr>
      <w:r>
        <w:rPr>
          <w:rFonts w:hint="eastAsia"/>
        </w:rPr>
        <w:t>年月日</w:t>
      </w:r>
    </w:p>
    <w:p>
      <w:pPr>
        <w:spacing w:line="440" w:lineRule="exact"/>
        <w:rPr>
          <w:rFonts w:ascii="黑体" w:eastAsia="黑体"/>
        </w:rPr>
      </w:pPr>
      <w:bookmarkStart w:id="52" w:name="_Toc226217114"/>
      <w:r>
        <w:rPr>
          <w:rFonts w:ascii="宋体"/>
        </w:rPr>
        <w:pict>
          <v:rect id="Rectangle 2" o:spid="_x0000_s3093" o:spt="1" style="position:absolute;left:0pt;margin-left:-10.35pt;margin-top:5.6pt;height:156pt;width:243pt;z-index:251675648;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w:r>
      <w:r>
        <w:rPr>
          <w:rFonts w:ascii="黑体" w:eastAsia="黑体"/>
        </w:rPr>
        <w:pict>
          <v:rect id="Rectangle 3" o:spid="_x0000_s3094" o:spt="1" style="position:absolute;left:0pt;margin-left:249.9pt;margin-top:5.6pt;height:156pt;width:243pt;z-index:251676672;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w:r>
      <w:bookmarkEnd w:id="52"/>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pPr>
      <w:r>
        <w:rPr>
          <w:rFonts w:hint="eastAsia" w:asciiTheme="majorEastAsia" w:hAnsiTheme="majorEastAsia" w:eastAsiaTheme="majorEastAsia"/>
          <w:b/>
          <w:sz w:val="24"/>
        </w:rPr>
        <w:t>注：法定代表人证明书和法定代表人授权委托证明书除装订于投标文件中外，还须另置一份按“投标人须知”18.4项要求单独密封。</w:t>
      </w:r>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投标函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4．我单位愿意提供招标代理机构在招标文件中要求的所有资料，且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6．我单位愿按《中华人民共和国民法典》履行自己的全部责任。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同意中标后向招标代理机构支付招标文件要求数额的中标服务费。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评分中涉及的承诺及声明函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3"/>
        <w:keepNext w:val="0"/>
        <w:adjustRightInd/>
        <w:spacing w:before="0" w:after="0" w:line="240" w:lineRule="auto"/>
        <w:textAlignment w:val="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widowControl/>
        <w:jc w:val="left"/>
        <w:rPr>
          <w:b/>
          <w:snapToGrid w:val="0"/>
          <w:kern w:val="0"/>
          <w:sz w:val="28"/>
        </w:rPr>
      </w:pPr>
      <w:r>
        <w:rPr>
          <w:b/>
          <w:snapToGrid w:val="0"/>
          <w:kern w:val="0"/>
          <w:sz w:val="28"/>
        </w:rPr>
        <w:br w:type="page"/>
      </w:r>
    </w:p>
    <w:p>
      <w:pPr>
        <w:adjustRightInd w:val="0"/>
        <w:spacing w:line="300" w:lineRule="auto"/>
        <w:ind w:hanging="2"/>
        <w:jc w:val="center"/>
        <w:rPr>
          <w:b/>
          <w:snapToGrid w:val="0"/>
          <w:kern w:val="0"/>
          <w:sz w:val="28"/>
        </w:rPr>
      </w:pPr>
    </w:p>
    <w:p>
      <w:pPr>
        <w:pStyle w:val="5"/>
        <w:tabs>
          <w:tab w:val="left" w:pos="0"/>
        </w:tabs>
        <w:jc w:val="center"/>
        <w:rPr>
          <w:rFonts w:ascii="宋体" w:hAnsi="宋体" w:eastAsia="宋体"/>
        </w:rPr>
      </w:pPr>
      <w:r>
        <w:rPr>
          <w:rFonts w:hint="eastAsia" w:ascii="宋体" w:hAnsi="宋体" w:eastAsia="宋体"/>
        </w:rPr>
        <w:t>中小企业声明函</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提供的货物全部由符合政策要求的中小企业制造</w:t>
      </w:r>
      <w:r>
        <w:rPr>
          <w:rFonts w:asciiTheme="minorEastAsia" w:hAnsiTheme="minorEastAsia" w:eastAsiaTheme="minorEastAsia"/>
          <w:szCs w:val="21"/>
        </w:rPr>
        <w:t>。相关企业（含联合体中的中小企业、签订分包意向协议的中小企业）的具体情况如下：</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ab/>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lang w:val="en-US" w:eastAsia="zh-CN"/>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ab/>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lang w:val="en-US" w:eastAsia="zh-CN"/>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0"/>
        <w:spacing w:before="108" w:line="304" w:lineRule="auto"/>
        <w:ind w:right="-1"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jc w:val="right"/>
        <w:rPr>
          <w:rFonts w:ascii="宋体" w:hAnsi="宋体"/>
          <w:szCs w:val="21"/>
        </w:rPr>
      </w:pPr>
      <w:r>
        <w:rPr>
          <w:rFonts w:hint="eastAsia" w:ascii="宋体" w:hAnsi="宋体"/>
          <w:szCs w:val="21"/>
          <w:lang w:val="en-US" w:eastAsia="zh-CN"/>
        </w:rPr>
        <w:t>企业</w:t>
      </w:r>
      <w:r>
        <w:rPr>
          <w:rFonts w:hint="eastAsia" w:ascii="宋体" w:hAnsi="宋体"/>
          <w:szCs w:val="21"/>
        </w:rPr>
        <w:t>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相关规定。如不符合前述相关规定所确定的</w:t>
      </w:r>
      <w:r>
        <w:rPr>
          <w:rFonts w:hint="eastAsia" w:ascii="宋体" w:hAnsi="宋体"/>
          <w:b/>
          <w:szCs w:val="21"/>
        </w:rPr>
        <w:t>小型和微型企业</w:t>
      </w:r>
      <w:r>
        <w:rPr>
          <w:rFonts w:hint="eastAsia" w:ascii="宋体" w:hAnsi="宋体"/>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r>
        <w:rPr>
          <w:rFonts w:hint="eastAsia" w:ascii="宋体" w:hAnsi="宋体"/>
          <w:szCs w:val="21"/>
        </w:rPr>
        <w:t>3、供应商提供的货物既有中小企业制造货物，也有大型企业制造货物的，不享受中小企业扶持政策。</w:t>
      </w:r>
    </w:p>
    <w:p>
      <w:pPr>
        <w:pStyle w:val="5"/>
        <w:tabs>
          <w:tab w:val="left" w:pos="0"/>
        </w:tabs>
        <w:jc w:val="center"/>
        <w:rPr>
          <w:rFonts w:ascii="宋体" w:hAnsi="宋体" w:eastAsia="宋体"/>
        </w:rPr>
      </w:pPr>
      <w:r>
        <w:rPr>
          <w:rFonts w:hint="eastAsia" w:ascii="宋体" w:hAnsi="宋体" w:eastAsia="宋体"/>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jc w:val="left"/>
        <w:rPr>
          <w:rFonts w:ascii="宋体" w:hAnsi="宋体"/>
          <w:szCs w:val="21"/>
        </w:rPr>
      </w:pPr>
      <w:r>
        <w:rPr>
          <w:rFonts w:hint="eastAsia" w:ascii="宋体" w:hAnsi="宋体"/>
          <w:szCs w:val="21"/>
        </w:rPr>
        <w:t xml:space="preserve">    备注：填写前请认真阅读《财政部、民政部、中国残疾人联合会关于促进残疾人就业政府采购政策的通知》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列入政府优先采购清单的投标产品一览表</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989"/>
        <w:gridCol w:w="1080"/>
        <w:gridCol w:w="1464"/>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restart"/>
            <w:vAlign w:val="center"/>
          </w:tcPr>
          <w:p>
            <w:pP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4"/>
          </w:tcPr>
          <w:p>
            <w:pPr>
              <w:jc w:val="center"/>
              <w:rPr>
                <w:b/>
                <w:szCs w:val="21"/>
              </w:rPr>
            </w:pPr>
            <w:r>
              <w:rPr>
                <w:rFonts w:hint="eastAsia"/>
                <w:b/>
                <w:szCs w:val="21"/>
              </w:rPr>
              <w:t>该投标产品报价及占投标总价的比例</w:t>
            </w:r>
          </w:p>
        </w:tc>
        <w:tc>
          <w:tcPr>
            <w:tcW w:w="1503" w:type="dxa"/>
            <w:vMerge w:val="restart"/>
            <w:vAlign w:val="center"/>
          </w:tcPr>
          <w:p>
            <w:pPr>
              <w:rPr>
                <w:b/>
                <w:szCs w:val="21"/>
              </w:rPr>
            </w:pPr>
            <w:r>
              <w:rPr>
                <w:rFonts w:hint="eastAsia"/>
                <w:b/>
                <w:szCs w:val="21"/>
              </w:rPr>
              <w:t>属于优先采购清单的类别</w:t>
            </w:r>
          </w:p>
        </w:tc>
        <w:tc>
          <w:tcPr>
            <w:tcW w:w="720" w:type="dxa"/>
            <w:vMerge w:val="restart"/>
            <w:vAlign w:val="center"/>
          </w:tcPr>
          <w:p>
            <w:pP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989" w:type="dxa"/>
            <w:vAlign w:val="center"/>
          </w:tcPr>
          <w:p>
            <w:pPr>
              <w:rPr>
                <w:szCs w:val="21"/>
              </w:rPr>
            </w:pPr>
            <w:r>
              <w:rPr>
                <w:rFonts w:hint="eastAsia"/>
                <w:szCs w:val="21"/>
              </w:rPr>
              <w:t>投标单价（元）</w:t>
            </w:r>
          </w:p>
        </w:tc>
        <w:tc>
          <w:tcPr>
            <w:tcW w:w="1080" w:type="dxa"/>
            <w:vAlign w:val="center"/>
          </w:tcPr>
          <w:p>
            <w:pPr>
              <w:rPr>
                <w:szCs w:val="21"/>
              </w:rPr>
            </w:pPr>
            <w:r>
              <w:rPr>
                <w:rFonts w:hint="eastAsia"/>
                <w:szCs w:val="21"/>
              </w:rPr>
              <w:t>投标合计报价（元）</w:t>
            </w:r>
          </w:p>
        </w:tc>
        <w:tc>
          <w:tcPr>
            <w:tcW w:w="1464" w:type="dxa"/>
            <w:vAlign w:val="center"/>
          </w:tcPr>
          <w:p>
            <w:pPr>
              <w:rPr>
                <w:szCs w:val="21"/>
              </w:rPr>
            </w:pPr>
            <w:r>
              <w:rPr>
                <w:rFonts w:hint="eastAsia"/>
                <w:szCs w:val="21"/>
              </w:rPr>
              <w:t>占投标总价的比例（%）</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1</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2</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szCs w:val="21"/>
        </w:rPr>
        <w:t>投标人的投标产品若不属于招标文件第四章“政府采购</w:t>
      </w:r>
      <w:r>
        <w:rPr>
          <w:rFonts w:hint="eastAsia"/>
          <w:bCs/>
          <w:szCs w:val="21"/>
        </w:rPr>
        <w:t>优惠政策”</w:t>
      </w:r>
      <w:r>
        <w:rPr>
          <w:rFonts w:hint="eastAsia"/>
          <w:szCs w:val="21"/>
        </w:rPr>
        <w:t>中所述清单或目录范围内，则无需填写该表。</w:t>
      </w:r>
    </w:p>
    <w:p>
      <w:pPr>
        <w:spacing w:line="360" w:lineRule="auto"/>
        <w:rPr>
          <w:rFonts w:ascii="宋体" w:hAnsi="宋体"/>
          <w:szCs w:val="21"/>
        </w:rPr>
      </w:pPr>
      <w:r>
        <w:rPr>
          <w:rFonts w:hint="eastAsia" w:ascii="宋体" w:hAnsi="宋体"/>
          <w:szCs w:val="21"/>
        </w:rPr>
        <w:t>2. “该投标产品报价及占投标总价的比例”栏中须准确填报该投标产品的投标单价、数量、投标合计报价及占</w:t>
      </w:r>
      <w:r>
        <w:rPr>
          <w:rFonts w:hint="eastAsia"/>
          <w:szCs w:val="21"/>
        </w:rPr>
        <w:t>投标总</w:t>
      </w:r>
      <w:r>
        <w:rPr>
          <w:rFonts w:hint="eastAsia" w:ascii="宋体" w:hAnsi="宋体"/>
          <w:szCs w:val="21"/>
        </w:rPr>
        <w:t>价的比例。</w:t>
      </w:r>
    </w:p>
    <w:p>
      <w:pPr>
        <w:spacing w:line="360" w:lineRule="auto"/>
        <w:rPr>
          <w:rFonts w:ascii="宋体" w:hAnsi="宋体"/>
          <w:szCs w:val="21"/>
        </w:rPr>
      </w:pPr>
      <w:r>
        <w:rPr>
          <w:rFonts w:hint="eastAsia" w:ascii="宋体" w:hAnsi="宋体"/>
          <w:szCs w:val="21"/>
        </w:rPr>
        <w:t>3. “属于优先采购清单的类别”栏中填写“《节能产品政府采购品目清单》”、“《环境标志产品政府采购品目清单》”（以</w:t>
      </w:r>
      <w:r>
        <w:rPr>
          <w:rFonts w:hint="eastAsia" w:ascii="宋体" w:hAnsi="宋体"/>
          <w:bCs/>
          <w:szCs w:val="21"/>
        </w:rPr>
        <w:t>中国政府采购网（http://www.ccgp.gov.cn/）最新一期查询结果为准</w:t>
      </w:r>
      <w:r>
        <w:rPr>
          <w:rFonts w:hint="eastAsia" w:ascii="宋体" w:hAnsi="宋体"/>
          <w:szCs w:val="21"/>
        </w:rPr>
        <w:t>）。</w:t>
      </w:r>
    </w:p>
    <w:p>
      <w:pPr>
        <w:spacing w:line="360" w:lineRule="auto"/>
        <w:jc w:val="left"/>
      </w:pPr>
      <w:r>
        <w:rPr>
          <w:rFonts w:hint="eastAsia" w:ascii="宋体" w:hAnsi="宋体"/>
          <w:b/>
          <w:szCs w:val="21"/>
        </w:rPr>
        <w:t>4. 对上表所列</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left"/>
      </w:pPr>
    </w:p>
    <w:p>
      <w:pPr>
        <w:adjustRightInd w:val="0"/>
        <w:snapToGrid w:val="0"/>
        <w:spacing w:line="360" w:lineRule="auto"/>
        <w:ind w:firstLine="600"/>
        <w:jc w:val="left"/>
      </w:pPr>
    </w:p>
    <w:p>
      <w:pPr>
        <w:widowControl/>
        <w:jc w:val="left"/>
      </w:pPr>
      <w:r>
        <w:br w:type="page"/>
      </w:r>
    </w:p>
    <w:p>
      <w:pPr>
        <w:adjustRightInd w:val="0"/>
        <w:snapToGrid w:val="0"/>
        <w:spacing w:line="360" w:lineRule="auto"/>
        <w:ind w:firstLine="600"/>
        <w:jc w:val="left"/>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3" w:name="_Toc44691397"/>
      <w:bookmarkStart w:id="54" w:name="_Toc44690706"/>
      <w:bookmarkStart w:id="55" w:name="_Toc44690433"/>
      <w:bookmarkStart w:id="56" w:name="_Toc44691165"/>
      <w:r>
        <w:rPr>
          <w:rFonts w:hint="eastAsia" w:asciiTheme="minorEastAsia" w:hAnsiTheme="minorEastAsia" w:eastAsiaTheme="minorEastAsia"/>
          <w:sz w:val="24"/>
        </w:rPr>
        <w:t>格式5  开标一览表</w:t>
      </w:r>
      <w:bookmarkEnd w:id="53"/>
      <w:bookmarkEnd w:id="54"/>
      <w:bookmarkEnd w:id="55"/>
      <w:bookmarkEnd w:id="56"/>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4396"/>
        <w:gridCol w:w="226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97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9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226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2976" w:type="dxa"/>
            <w:tcBorders>
              <w:top w:val="single" w:color="auto" w:sz="4" w:space="0"/>
            </w:tcBorders>
            <w:vAlign w:val="center"/>
          </w:tcPr>
          <w:p>
            <w:pPr>
              <w:adjustRightInd w:val="0"/>
              <w:snapToGrid w:val="0"/>
              <w:spacing w:line="360" w:lineRule="auto"/>
              <w:jc w:val="center"/>
            </w:pPr>
            <w:r>
              <w:rPr>
                <w:rFonts w:hint="eastAsia"/>
              </w:rPr>
              <w:t>动脉硬化检测装置采购</w:t>
            </w:r>
          </w:p>
        </w:tc>
        <w:tc>
          <w:tcPr>
            <w:tcW w:w="4396"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p>
          <w:p>
            <w:pPr>
              <w:adjustRightInd w:val="0"/>
              <w:snapToGrid w:val="0"/>
              <w:spacing w:line="360" w:lineRule="auto"/>
              <w:rPr>
                <w:snapToGrid w:val="0"/>
                <w:kern w:val="0"/>
                <w:u w:val="single"/>
              </w:rPr>
            </w:pPr>
            <w:r>
              <w:rPr>
                <w:snapToGrid w:val="0"/>
                <w:kern w:val="0"/>
              </w:rPr>
              <w:t>小写：</w:t>
            </w:r>
          </w:p>
        </w:tc>
        <w:tc>
          <w:tcPr>
            <w:tcW w:w="2261"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bCs/>
        </w:rPr>
        <w:t>投标</w:t>
      </w:r>
      <w:r>
        <w:rPr>
          <w:rFonts w:hint="eastAsia"/>
          <w:snapToGrid w:val="0"/>
          <w:kern w:val="0"/>
        </w:rPr>
        <w:t>总</w:t>
      </w:r>
      <w:r>
        <w:rPr>
          <w:rFonts w:hint="eastAsia" w:ascii="宋体" w:hAnsi="宋体"/>
          <w:bCs/>
        </w:rPr>
        <w:t>价必须是完成该项目的一切费用总和，包含设备费、运输费、装卸费、安装费、调试费、保险费、技术培训费、售后服务费、国家规定的各项税费等全部费用。</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8"/>
        <w:adjustRightInd w:val="0"/>
        <w:snapToGrid w:val="0"/>
        <w:spacing w:line="312" w:lineRule="auto"/>
        <w:jc w:val="center"/>
        <w:rPr>
          <w:rFonts w:ascii="Times New Roman" w:hAnsi="Times New Roman"/>
          <w:b/>
          <w:sz w:val="28"/>
        </w:rPr>
      </w:pPr>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7" w:name="_Toc44691166"/>
      <w:bookmarkStart w:id="58" w:name="_Toc44691398"/>
      <w:bookmarkStart w:id="59" w:name="_Toc44690434"/>
      <w:bookmarkStart w:id="60" w:name="_Toc44690707"/>
      <w:r>
        <w:rPr>
          <w:rFonts w:hint="eastAsia" w:asciiTheme="minorEastAsia" w:hAnsiTheme="minorEastAsia" w:eastAsiaTheme="minorEastAsia"/>
          <w:sz w:val="24"/>
        </w:rPr>
        <w:t>格式6  报价表</w:t>
      </w:r>
      <w:bookmarkEnd w:id="57"/>
      <w:bookmarkEnd w:id="58"/>
      <w:bookmarkEnd w:id="59"/>
      <w:bookmarkEnd w:id="60"/>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报价包</w:t>
      </w:r>
      <w:r>
        <w:rPr>
          <w:rFonts w:hint="eastAsia" w:ascii="宋体" w:hAnsi="宋体"/>
          <w:bCs/>
        </w:rPr>
        <w:t>含</w:t>
      </w:r>
      <w:r>
        <w:rPr>
          <w:rFonts w:hint="eastAsia" w:asciiTheme="minorEastAsia" w:hAnsiTheme="minorEastAsia" w:eastAsiaTheme="minorEastAsia"/>
          <w:bCs/>
        </w:rPr>
        <w:t>设备费、运输费、装卸费、安装费、调试费、保险费、技术培训费、售后服务费、国家规定的各项税费等全部费用</w:t>
      </w:r>
      <w:r>
        <w:rPr>
          <w:rFonts w:hint="eastAsia" w:asciiTheme="minorEastAsia" w:hAnsiTheme="minorEastAsia" w:eastAsiaTheme="minorEastAsia"/>
          <w:snapToGrid w:val="0"/>
          <w:kern w:val="0"/>
        </w:rPr>
        <w:t>。</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“分项价格表”应将所有设备报价，并分别列出“品牌、型号、产地及制造厂商”。</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1.4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p>
      <w:pPr>
        <w:adjustRightInd w:val="0"/>
        <w:snapToGrid w:val="0"/>
        <w:spacing w:line="300" w:lineRule="auto"/>
        <w:rPr>
          <w:snapToGrid w:val="0"/>
          <w:kern w:val="0"/>
        </w:rPr>
      </w:pPr>
    </w:p>
    <w:p>
      <w:pPr>
        <w:adjustRightInd w:val="0"/>
        <w:snapToGrid w:val="0"/>
        <w:spacing w:line="300" w:lineRule="auto"/>
        <w:jc w:val="center"/>
        <w:rPr>
          <w:rFonts w:asciiTheme="minorEastAsia" w:hAnsiTheme="minorEastAsia" w:eastAsiaTheme="minorEastAsia"/>
          <w:bCs/>
          <w:snapToGrid w:val="0"/>
          <w:kern w:val="0"/>
          <w:sz w:val="24"/>
          <w:u w:val="single"/>
        </w:rPr>
      </w:pPr>
      <w:r>
        <w:rPr>
          <w:rFonts w:hint="eastAsia" w:asciiTheme="minorEastAsia" w:hAnsiTheme="minorEastAsia" w:eastAsiaTheme="minorEastAsia"/>
          <w:snapToGrid w:val="0"/>
          <w:kern w:val="0"/>
          <w:sz w:val="24"/>
        </w:rPr>
        <w:t>（一）</w:t>
      </w:r>
      <w:r>
        <w:rPr>
          <w:rFonts w:hint="eastAsia" w:asciiTheme="minorEastAsia" w:hAnsiTheme="minorEastAsia" w:eastAsiaTheme="minorEastAsia"/>
          <w:bCs/>
          <w:snapToGrid w:val="0"/>
          <w:kern w:val="0"/>
          <w:sz w:val="24"/>
        </w:rPr>
        <w:t>报价总表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p>
    <w:p>
      <w:pPr>
        <w:adjustRightInd w:val="0"/>
        <w:snapToGrid w:val="0"/>
        <w:spacing w:line="300" w:lineRule="auto"/>
        <w:rPr>
          <w:rFonts w:asciiTheme="minorEastAsia" w:hAnsiTheme="minorEastAsia" w:eastAsiaTheme="minorEastAsia"/>
          <w:bCs/>
          <w:snapToGrid w:val="0"/>
          <w:kern w:val="0"/>
        </w:rPr>
      </w:pPr>
      <w:r>
        <w:rPr>
          <w:rFonts w:hint="eastAsia" w:asciiTheme="minorEastAsia" w:hAnsiTheme="minorEastAsia" w:eastAsiaTheme="minorEastAsia"/>
          <w:bCs/>
          <w:snapToGrid w:val="0"/>
          <w:kern w:val="0"/>
        </w:rPr>
        <w:t>项目编号：</w:t>
      </w:r>
    </w:p>
    <w:tbl>
      <w:tblPr>
        <w:tblStyle w:val="50"/>
        <w:tblW w:w="1051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4939"/>
        <w:gridCol w:w="483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序号</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名称</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总价（单位：元）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设备费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运输费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装卸费</w:t>
            </w:r>
          </w:p>
        </w:tc>
        <w:tc>
          <w:tcPr>
            <w:tcW w:w="4833" w:type="dxa"/>
          </w:tcPr>
          <w:p>
            <w:pPr>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安装费</w:t>
            </w:r>
          </w:p>
        </w:tc>
        <w:tc>
          <w:tcPr>
            <w:tcW w:w="4833" w:type="dxa"/>
          </w:tcPr>
          <w:p>
            <w:pPr>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调试费</w:t>
            </w:r>
          </w:p>
        </w:tc>
        <w:tc>
          <w:tcPr>
            <w:tcW w:w="4833" w:type="dxa"/>
          </w:tcPr>
          <w:p>
            <w:pPr>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保险费</w:t>
            </w:r>
          </w:p>
        </w:tc>
        <w:tc>
          <w:tcPr>
            <w:tcW w:w="4833" w:type="dxa"/>
          </w:tcPr>
          <w:p>
            <w:pPr>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技术培训费</w:t>
            </w:r>
          </w:p>
        </w:tc>
        <w:tc>
          <w:tcPr>
            <w:tcW w:w="4833" w:type="dxa"/>
          </w:tcPr>
          <w:p>
            <w:pPr>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售后服务费</w:t>
            </w:r>
          </w:p>
        </w:tc>
        <w:tc>
          <w:tcPr>
            <w:tcW w:w="4833" w:type="dxa"/>
          </w:tcPr>
          <w:p>
            <w:pPr>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国家规定的各项税费</w:t>
            </w:r>
          </w:p>
        </w:tc>
        <w:tc>
          <w:tcPr>
            <w:tcW w:w="4833" w:type="dxa"/>
          </w:tcPr>
          <w:p>
            <w:pPr>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其它</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85" w:type="dxa"/>
            <w:gridSpan w:val="2"/>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   计</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bl>
    <w:p>
      <w:pPr>
        <w:rPr>
          <w:rFonts w:asciiTheme="minorEastAsia" w:hAnsiTheme="minorEastAsia" w:eastAsiaTheme="minorEastAsia"/>
          <w:szCs w:val="21"/>
        </w:rPr>
      </w:pPr>
      <w:r>
        <w:rPr>
          <w:rFonts w:hint="eastAsia" w:asciiTheme="minorEastAsia" w:hAnsiTheme="minorEastAsia" w:eastAsiaTheme="minorEastAsia"/>
          <w:szCs w:val="21"/>
        </w:rPr>
        <w:t>备注：1、</w:t>
      </w:r>
      <w:r>
        <w:rPr>
          <w:rFonts w:hint="eastAsia" w:asciiTheme="minorEastAsia" w:hAnsiTheme="minorEastAsia" w:eastAsiaTheme="minorEastAsia"/>
          <w:bCs/>
          <w:szCs w:val="21"/>
        </w:rPr>
        <w:t>本表格仅为指导性范本，供应商可根据项目具体情况对各分项内容进行调整。</w:t>
      </w:r>
    </w:p>
    <w:p>
      <w:pPr>
        <w:adjustRightInd w:val="0"/>
        <w:jc w:val="left"/>
        <w:rPr>
          <w:rFonts w:asciiTheme="minorEastAsia" w:hAnsiTheme="minorEastAsia" w:eastAsiaTheme="minorEastAsia"/>
          <w:snapToGrid w:val="0"/>
          <w:kern w:val="0"/>
          <w:szCs w:val="21"/>
        </w:rPr>
      </w:pPr>
      <w:r>
        <w:rPr>
          <w:rFonts w:hint="eastAsia" w:asciiTheme="minorEastAsia" w:hAnsiTheme="minorEastAsia" w:eastAsiaTheme="minorEastAsia"/>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Theme="minorEastAsia" w:hAnsiTheme="minorEastAsia" w:eastAsiaTheme="minorEastAsia"/>
          <w:szCs w:val="21"/>
        </w:rPr>
        <w:t>。</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bCs/>
        </w:rPr>
      </w:pPr>
      <w:r>
        <w:rPr>
          <w:rFonts w:hint="eastAsia" w:asciiTheme="minorEastAsia" w:hAnsiTheme="minorEastAsia" w:eastAsiaTheme="minorEastAsia"/>
          <w:snapToGrid w:val="0"/>
          <w:kern w:val="0"/>
          <w:sz w:val="24"/>
        </w:rPr>
        <w:t>（二）</w:t>
      </w:r>
      <w:r>
        <w:rPr>
          <w:rFonts w:asciiTheme="minorEastAsia" w:hAnsiTheme="minorEastAsia" w:eastAsiaTheme="minorEastAsia"/>
          <w:snapToGrid w:val="0"/>
          <w:kern w:val="0"/>
          <w:sz w:val="24"/>
        </w:rPr>
        <w:t>分项价格表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p>
    <w:p>
      <w:pPr>
        <w:adjustRightInd w:val="0"/>
        <w:snapToGrid w:val="0"/>
        <w:spacing w:line="300" w:lineRule="auto"/>
        <w:rPr>
          <w:rFonts w:asciiTheme="minorEastAsia" w:hAnsiTheme="minorEastAsia" w:eastAsiaTheme="minorEastAsia"/>
          <w:snapToGrid w:val="0"/>
          <w:kern w:val="0"/>
          <w:sz w:val="24"/>
        </w:rPr>
      </w:pPr>
      <w:r>
        <w:rPr>
          <w:rFonts w:hint="eastAsia" w:asciiTheme="minorEastAsia" w:hAnsiTheme="minorEastAsia" w:eastAsiaTheme="minorEastAsia"/>
          <w:bCs/>
          <w:snapToGrid w:val="0"/>
          <w:kern w:val="0"/>
        </w:rPr>
        <w:t>项目编号：</w:t>
      </w:r>
    </w:p>
    <w:tbl>
      <w:tblPr>
        <w:tblStyle w:val="50"/>
        <w:tblW w:w="1056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821"/>
        <w:gridCol w:w="709"/>
        <w:gridCol w:w="851"/>
        <w:gridCol w:w="1417"/>
        <w:gridCol w:w="992"/>
        <w:gridCol w:w="651"/>
        <w:gridCol w:w="725"/>
        <w:gridCol w:w="709"/>
        <w:gridCol w:w="773"/>
        <w:gridCol w:w="12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序号</w:t>
            </w:r>
          </w:p>
        </w:tc>
        <w:tc>
          <w:tcPr>
            <w:tcW w:w="182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货物</w:t>
            </w:r>
            <w:r>
              <w:rPr>
                <w:rFonts w:asciiTheme="minorEastAsia" w:hAnsiTheme="minorEastAsia" w:eastAsiaTheme="minorEastAsia"/>
                <w:snapToGrid w:val="0"/>
                <w:kern w:val="0"/>
              </w:rPr>
              <w:t>名称</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品牌</w:t>
            </w: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zCs w:val="21"/>
              </w:rPr>
              <w:t>规格/型号</w:t>
            </w: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制造厂商</w:t>
            </w: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原产地</w:t>
            </w: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数量</w:t>
            </w: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单位</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单价</w:t>
            </w:r>
          </w:p>
        </w:tc>
        <w:tc>
          <w:tcPr>
            <w:tcW w:w="77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w:t>
            </w:r>
            <w:r>
              <w:rPr>
                <w:rFonts w:asciiTheme="minorEastAsia" w:hAnsiTheme="minorEastAsia" w:eastAsiaTheme="minorEastAsia"/>
                <w:snapToGrid w:val="0"/>
                <w:kern w:val="0"/>
              </w:rPr>
              <w:t>价</w:t>
            </w:r>
          </w:p>
        </w:tc>
        <w:tc>
          <w:tcPr>
            <w:tcW w:w="1248" w:type="dxa"/>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是否为进口产品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widowControl/>
              <w:spacing w:line="360" w:lineRule="auto"/>
              <w:jc w:val="center"/>
              <w:rPr>
                <w:rFonts w:cs="仿宋" w:asciiTheme="minorEastAsia" w:hAnsiTheme="minorEastAsia" w:eastAsiaTheme="minorEastAsia"/>
                <w:szCs w:val="21"/>
              </w:rPr>
            </w:pPr>
            <w:r>
              <w:rPr>
                <w:rFonts w:hint="eastAsia" w:ascii="宋体" w:hAnsi="宋体" w:cs="宋体"/>
                <w:kern w:val="0"/>
                <w:szCs w:val="21"/>
              </w:rPr>
              <w:t>1</w:t>
            </w:r>
          </w:p>
        </w:tc>
        <w:tc>
          <w:tcPr>
            <w:tcW w:w="1821" w:type="dxa"/>
            <w:vAlign w:val="center"/>
          </w:tcPr>
          <w:p>
            <w:pPr>
              <w:widowControl/>
              <w:jc w:val="center"/>
              <w:textAlignment w:val="center"/>
              <w:rPr>
                <w:rFonts w:cs="宋体" w:asciiTheme="minorEastAsia" w:hAnsiTheme="minorEastAsia" w:eastAsiaTheme="minorEastAsia"/>
                <w:kern w:val="0"/>
                <w:szCs w:val="21"/>
              </w:rPr>
            </w:pPr>
            <w:r>
              <w:rPr>
                <w:rFonts w:hint="eastAsia" w:ascii="宋体" w:hAnsi="宋体" w:cs="宋体"/>
                <w:kern w:val="0"/>
                <w:szCs w:val="21"/>
              </w:rPr>
              <w:t>动脉硬化检测装置</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widowControl/>
              <w:spacing w:line="360" w:lineRule="auto"/>
              <w:jc w:val="center"/>
              <w:rPr>
                <w:rFonts w:cs="仿宋" w:asciiTheme="minorEastAsia" w:hAnsiTheme="minorEastAsia" w:eastAsiaTheme="minorEastAsia"/>
                <w:szCs w:val="21"/>
              </w:rPr>
            </w:pPr>
            <w:r>
              <w:rPr>
                <w:rFonts w:hint="eastAsia" w:ascii="宋体" w:hAnsi="宋体" w:cs="宋体"/>
                <w:kern w:val="0"/>
                <w:szCs w:val="21"/>
              </w:rPr>
              <w:t>1.1</w:t>
            </w:r>
          </w:p>
        </w:tc>
        <w:tc>
          <w:tcPr>
            <w:tcW w:w="1821" w:type="dxa"/>
            <w:vAlign w:val="center"/>
          </w:tcPr>
          <w:p>
            <w:pPr>
              <w:widowControl/>
              <w:jc w:val="center"/>
              <w:textAlignment w:val="center"/>
              <w:rPr>
                <w:rFonts w:cs="宋体" w:asciiTheme="minorEastAsia" w:hAnsiTheme="minorEastAsia" w:eastAsiaTheme="minorEastAsia"/>
                <w:kern w:val="0"/>
                <w:szCs w:val="21"/>
              </w:rPr>
            </w:pPr>
            <w:r>
              <w:rPr>
                <w:rFonts w:hint="eastAsia" w:ascii="宋体" w:hAnsi="宋体" w:cs="宋体"/>
                <w:bCs/>
                <w:color w:val="000000"/>
                <w:kern w:val="0"/>
                <w:szCs w:val="21"/>
              </w:rPr>
              <w:t>主机</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widowControl/>
              <w:spacing w:line="360" w:lineRule="auto"/>
              <w:jc w:val="center"/>
              <w:rPr>
                <w:rFonts w:cs="仿宋" w:asciiTheme="minorEastAsia" w:hAnsiTheme="minorEastAsia" w:eastAsiaTheme="minorEastAsia"/>
                <w:szCs w:val="21"/>
              </w:rPr>
            </w:pPr>
            <w:r>
              <w:rPr>
                <w:rFonts w:hint="eastAsia" w:ascii="宋体" w:hAnsi="宋体" w:cs="宋体"/>
                <w:kern w:val="0"/>
                <w:szCs w:val="21"/>
              </w:rPr>
              <w:t>1.2</w:t>
            </w:r>
          </w:p>
        </w:tc>
        <w:tc>
          <w:tcPr>
            <w:tcW w:w="1821" w:type="dxa"/>
            <w:vAlign w:val="center"/>
          </w:tcPr>
          <w:p>
            <w:pPr>
              <w:widowControl/>
              <w:jc w:val="center"/>
              <w:textAlignment w:val="center"/>
              <w:rPr>
                <w:rFonts w:cs="宋体" w:asciiTheme="minorEastAsia" w:hAnsiTheme="minorEastAsia" w:eastAsiaTheme="minorEastAsia"/>
                <w:kern w:val="0"/>
                <w:szCs w:val="21"/>
              </w:rPr>
            </w:pPr>
            <w:r>
              <w:rPr>
                <w:rFonts w:hint="eastAsia" w:ascii="宋体" w:hAnsi="宋体" w:cs="宋体"/>
                <w:bCs/>
                <w:color w:val="000000"/>
                <w:kern w:val="0"/>
                <w:szCs w:val="21"/>
              </w:rPr>
              <w:t>台车</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widowControl/>
              <w:spacing w:line="360" w:lineRule="auto"/>
              <w:jc w:val="center"/>
              <w:rPr>
                <w:rFonts w:cs="仿宋" w:asciiTheme="minorEastAsia" w:hAnsiTheme="minorEastAsia" w:eastAsiaTheme="minorEastAsia"/>
                <w:szCs w:val="21"/>
              </w:rPr>
            </w:pPr>
            <w:r>
              <w:rPr>
                <w:rFonts w:hint="eastAsia" w:ascii="宋体" w:hAnsi="宋体" w:cs="宋体"/>
                <w:kern w:val="0"/>
                <w:szCs w:val="21"/>
              </w:rPr>
              <w:t>1.3</w:t>
            </w:r>
          </w:p>
        </w:tc>
        <w:tc>
          <w:tcPr>
            <w:tcW w:w="1821" w:type="dxa"/>
            <w:vAlign w:val="center"/>
          </w:tcPr>
          <w:p>
            <w:pPr>
              <w:widowControl/>
              <w:jc w:val="center"/>
              <w:textAlignment w:val="center"/>
              <w:rPr>
                <w:rFonts w:cs="宋体" w:asciiTheme="minorEastAsia" w:hAnsiTheme="minorEastAsia" w:eastAsiaTheme="minorEastAsia"/>
                <w:kern w:val="0"/>
                <w:szCs w:val="21"/>
              </w:rPr>
            </w:pPr>
            <w:r>
              <w:rPr>
                <w:rFonts w:hint="eastAsia" w:ascii="宋体" w:hAnsi="宋体" w:cs="宋体"/>
                <w:bCs/>
                <w:color w:val="000000"/>
                <w:kern w:val="0"/>
                <w:szCs w:val="21"/>
              </w:rPr>
              <w:t>心电传感器</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widowControl/>
              <w:spacing w:line="360" w:lineRule="auto"/>
              <w:jc w:val="center"/>
              <w:rPr>
                <w:rFonts w:cs="仿宋" w:asciiTheme="minorEastAsia" w:hAnsiTheme="minorEastAsia" w:eastAsiaTheme="minorEastAsia"/>
                <w:szCs w:val="21"/>
              </w:rPr>
            </w:pPr>
            <w:r>
              <w:rPr>
                <w:rFonts w:hint="eastAsia" w:ascii="宋体" w:hAnsi="宋体" w:cs="宋体"/>
                <w:kern w:val="0"/>
                <w:szCs w:val="21"/>
              </w:rPr>
              <w:t>1.4</w:t>
            </w:r>
          </w:p>
        </w:tc>
        <w:tc>
          <w:tcPr>
            <w:tcW w:w="1821" w:type="dxa"/>
            <w:vAlign w:val="center"/>
          </w:tcPr>
          <w:p>
            <w:pPr>
              <w:widowControl/>
              <w:jc w:val="center"/>
              <w:textAlignment w:val="center"/>
              <w:rPr>
                <w:rFonts w:cs="宋体" w:asciiTheme="minorEastAsia" w:hAnsiTheme="minorEastAsia" w:eastAsiaTheme="minorEastAsia"/>
                <w:kern w:val="0"/>
                <w:szCs w:val="21"/>
              </w:rPr>
            </w:pPr>
            <w:r>
              <w:rPr>
                <w:rFonts w:hint="eastAsia" w:ascii="宋体" w:hAnsi="宋体" w:cs="宋体"/>
                <w:bCs/>
                <w:color w:val="000000"/>
                <w:kern w:val="0"/>
                <w:szCs w:val="21"/>
              </w:rPr>
              <w:t>心音传感器</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widowControl/>
              <w:spacing w:line="360" w:lineRule="auto"/>
              <w:jc w:val="center"/>
              <w:rPr>
                <w:rFonts w:hint="eastAsia" w:cs="仿宋" w:asciiTheme="minorEastAsia" w:hAnsiTheme="minorEastAsia" w:eastAsiaTheme="minorEastAsia"/>
                <w:szCs w:val="21"/>
              </w:rPr>
            </w:pPr>
            <w:r>
              <w:rPr>
                <w:rFonts w:hint="eastAsia" w:ascii="宋体" w:hAnsi="宋体" w:cs="宋体"/>
                <w:kern w:val="0"/>
                <w:szCs w:val="21"/>
              </w:rPr>
              <w:t>1.5</w:t>
            </w:r>
          </w:p>
        </w:tc>
        <w:tc>
          <w:tcPr>
            <w:tcW w:w="1821" w:type="dxa"/>
            <w:vAlign w:val="center"/>
          </w:tcPr>
          <w:p>
            <w:pPr>
              <w:widowControl/>
              <w:jc w:val="center"/>
              <w:textAlignment w:val="center"/>
              <w:rPr>
                <w:rFonts w:cs="宋体" w:asciiTheme="minorEastAsia" w:hAnsiTheme="minorEastAsia" w:eastAsiaTheme="minorEastAsia"/>
                <w:kern w:val="0"/>
                <w:szCs w:val="21"/>
              </w:rPr>
            </w:pPr>
            <w:r>
              <w:rPr>
                <w:rFonts w:hint="eastAsia" w:ascii="宋体" w:hAnsi="宋体" w:cs="宋体"/>
                <w:bCs/>
                <w:color w:val="000000"/>
                <w:kern w:val="0"/>
                <w:szCs w:val="21"/>
              </w:rPr>
              <w:t>心音传感器加重物</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widowControl/>
              <w:spacing w:line="360" w:lineRule="auto"/>
              <w:jc w:val="center"/>
              <w:rPr>
                <w:rFonts w:hint="eastAsia" w:cs="仿宋" w:asciiTheme="minorEastAsia" w:hAnsiTheme="minorEastAsia" w:eastAsiaTheme="minorEastAsia"/>
                <w:szCs w:val="21"/>
              </w:rPr>
            </w:pPr>
            <w:r>
              <w:rPr>
                <w:rFonts w:hint="eastAsia" w:ascii="宋体" w:hAnsi="宋体" w:cs="宋体"/>
                <w:kern w:val="0"/>
                <w:szCs w:val="21"/>
              </w:rPr>
              <w:t>1.6</w:t>
            </w:r>
          </w:p>
        </w:tc>
        <w:tc>
          <w:tcPr>
            <w:tcW w:w="1821" w:type="dxa"/>
            <w:vAlign w:val="center"/>
          </w:tcPr>
          <w:p>
            <w:pPr>
              <w:widowControl/>
              <w:jc w:val="center"/>
              <w:textAlignment w:val="center"/>
              <w:rPr>
                <w:rFonts w:cs="宋体" w:asciiTheme="minorEastAsia" w:hAnsiTheme="minorEastAsia" w:eastAsiaTheme="minorEastAsia"/>
                <w:kern w:val="0"/>
                <w:szCs w:val="21"/>
              </w:rPr>
            </w:pPr>
            <w:r>
              <w:rPr>
                <w:rFonts w:hint="eastAsia" w:ascii="宋体" w:hAnsi="宋体" w:cs="宋体"/>
                <w:bCs/>
                <w:color w:val="000000"/>
                <w:kern w:val="0"/>
                <w:szCs w:val="21"/>
              </w:rPr>
              <w:t>上臂传感袖带</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widowControl/>
              <w:spacing w:line="360" w:lineRule="auto"/>
              <w:jc w:val="center"/>
              <w:rPr>
                <w:rFonts w:hint="eastAsia" w:cs="仿宋" w:asciiTheme="minorEastAsia" w:hAnsiTheme="minorEastAsia" w:eastAsiaTheme="minorEastAsia"/>
                <w:szCs w:val="21"/>
              </w:rPr>
            </w:pPr>
            <w:r>
              <w:rPr>
                <w:rFonts w:hint="eastAsia" w:ascii="宋体" w:hAnsi="宋体" w:cs="宋体"/>
                <w:kern w:val="0"/>
                <w:szCs w:val="21"/>
              </w:rPr>
              <w:t>1.7</w:t>
            </w:r>
          </w:p>
        </w:tc>
        <w:tc>
          <w:tcPr>
            <w:tcW w:w="1821" w:type="dxa"/>
            <w:vAlign w:val="center"/>
          </w:tcPr>
          <w:p>
            <w:pPr>
              <w:widowControl/>
              <w:jc w:val="center"/>
              <w:textAlignment w:val="center"/>
              <w:rPr>
                <w:rFonts w:cs="宋体" w:asciiTheme="minorEastAsia" w:hAnsiTheme="minorEastAsia" w:eastAsiaTheme="minorEastAsia"/>
                <w:kern w:val="0"/>
                <w:szCs w:val="21"/>
              </w:rPr>
            </w:pPr>
            <w:r>
              <w:rPr>
                <w:rFonts w:hint="eastAsia" w:ascii="宋体" w:hAnsi="宋体" w:cs="宋体"/>
                <w:bCs/>
                <w:color w:val="000000"/>
                <w:kern w:val="0"/>
                <w:szCs w:val="21"/>
              </w:rPr>
              <w:t>脚踝传感袖带</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widowControl/>
              <w:spacing w:line="360" w:lineRule="auto"/>
              <w:jc w:val="center"/>
              <w:rPr>
                <w:rFonts w:hint="eastAsia" w:cs="仿宋" w:asciiTheme="minorEastAsia" w:hAnsiTheme="minorEastAsia" w:eastAsiaTheme="minorEastAsia"/>
                <w:szCs w:val="21"/>
              </w:rPr>
            </w:pPr>
            <w:r>
              <w:rPr>
                <w:rFonts w:hint="eastAsia" w:ascii="宋体" w:hAnsi="宋体" w:cs="宋体"/>
                <w:kern w:val="0"/>
                <w:szCs w:val="21"/>
              </w:rPr>
              <w:t>1.8</w:t>
            </w:r>
          </w:p>
        </w:tc>
        <w:tc>
          <w:tcPr>
            <w:tcW w:w="1821" w:type="dxa"/>
            <w:vAlign w:val="center"/>
          </w:tcPr>
          <w:p>
            <w:pPr>
              <w:widowControl/>
              <w:jc w:val="center"/>
              <w:textAlignment w:val="center"/>
              <w:rPr>
                <w:rFonts w:cs="宋体" w:asciiTheme="minorEastAsia" w:hAnsiTheme="minorEastAsia" w:eastAsiaTheme="minorEastAsia"/>
                <w:kern w:val="0"/>
                <w:szCs w:val="21"/>
              </w:rPr>
            </w:pPr>
            <w:r>
              <w:rPr>
                <w:rFonts w:hint="eastAsia" w:ascii="宋体" w:hAnsi="宋体" w:cs="宋体"/>
                <w:bCs/>
                <w:color w:val="000000"/>
                <w:kern w:val="0"/>
                <w:szCs w:val="21"/>
              </w:rPr>
              <w:t>上臂箍带软管</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widowControl/>
              <w:spacing w:line="360" w:lineRule="auto"/>
              <w:jc w:val="center"/>
              <w:rPr>
                <w:rFonts w:hint="eastAsia" w:cs="仿宋" w:asciiTheme="minorEastAsia" w:hAnsiTheme="minorEastAsia" w:eastAsiaTheme="minorEastAsia"/>
                <w:szCs w:val="21"/>
              </w:rPr>
            </w:pPr>
            <w:r>
              <w:rPr>
                <w:rFonts w:hint="eastAsia" w:ascii="宋体" w:hAnsi="宋体" w:cs="宋体"/>
                <w:kern w:val="0"/>
                <w:szCs w:val="21"/>
              </w:rPr>
              <w:t>1.9</w:t>
            </w:r>
          </w:p>
        </w:tc>
        <w:tc>
          <w:tcPr>
            <w:tcW w:w="1821" w:type="dxa"/>
            <w:vAlign w:val="center"/>
          </w:tcPr>
          <w:p>
            <w:pPr>
              <w:widowControl/>
              <w:jc w:val="center"/>
              <w:textAlignment w:val="center"/>
              <w:rPr>
                <w:rFonts w:cs="宋体" w:asciiTheme="minorEastAsia" w:hAnsiTheme="minorEastAsia" w:eastAsiaTheme="minorEastAsia"/>
                <w:kern w:val="0"/>
                <w:szCs w:val="21"/>
              </w:rPr>
            </w:pPr>
            <w:r>
              <w:rPr>
                <w:rFonts w:hint="eastAsia" w:ascii="宋体" w:hAnsi="宋体" w:cs="宋体"/>
                <w:bCs/>
                <w:color w:val="000000"/>
                <w:kern w:val="0"/>
                <w:szCs w:val="21"/>
              </w:rPr>
              <w:t>脚踝箍带软管</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widowControl/>
              <w:spacing w:line="360" w:lineRule="auto"/>
              <w:jc w:val="center"/>
              <w:rPr>
                <w:rFonts w:hint="eastAsia" w:cs="仿宋" w:asciiTheme="minorEastAsia" w:hAnsiTheme="minorEastAsia" w:eastAsiaTheme="minorEastAsia"/>
                <w:szCs w:val="21"/>
              </w:rPr>
            </w:pPr>
            <w:r>
              <w:rPr>
                <w:rFonts w:hint="eastAsia" w:ascii="宋体" w:hAnsi="宋体" w:cs="宋体"/>
                <w:kern w:val="0"/>
                <w:szCs w:val="21"/>
              </w:rPr>
              <w:t>1.10</w:t>
            </w:r>
          </w:p>
        </w:tc>
        <w:tc>
          <w:tcPr>
            <w:tcW w:w="1821" w:type="dxa"/>
            <w:vAlign w:val="center"/>
          </w:tcPr>
          <w:p>
            <w:pPr>
              <w:widowControl/>
              <w:jc w:val="center"/>
              <w:textAlignment w:val="center"/>
              <w:rPr>
                <w:rFonts w:cs="宋体" w:asciiTheme="minorEastAsia" w:hAnsiTheme="minorEastAsia" w:eastAsiaTheme="minorEastAsia"/>
                <w:kern w:val="0"/>
                <w:szCs w:val="21"/>
              </w:rPr>
            </w:pPr>
            <w:r>
              <w:rPr>
                <w:rFonts w:hint="eastAsia" w:ascii="宋体" w:hAnsi="宋体" w:cs="宋体"/>
                <w:bCs/>
                <w:color w:val="000000"/>
                <w:kern w:val="0"/>
                <w:szCs w:val="21"/>
              </w:rPr>
              <w:t>中文操作界面</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widowControl/>
              <w:spacing w:line="360" w:lineRule="auto"/>
              <w:jc w:val="center"/>
              <w:rPr>
                <w:rFonts w:hint="eastAsia" w:cs="仿宋" w:asciiTheme="minorEastAsia" w:hAnsiTheme="minorEastAsia" w:eastAsiaTheme="minorEastAsia"/>
                <w:szCs w:val="21"/>
              </w:rPr>
            </w:pPr>
            <w:r>
              <w:rPr>
                <w:rFonts w:hint="eastAsia" w:ascii="宋体" w:hAnsi="宋体" w:cs="宋体"/>
                <w:kern w:val="0"/>
                <w:szCs w:val="21"/>
              </w:rPr>
              <w:t>1.11</w:t>
            </w:r>
          </w:p>
        </w:tc>
        <w:tc>
          <w:tcPr>
            <w:tcW w:w="1821" w:type="dxa"/>
            <w:vAlign w:val="center"/>
          </w:tcPr>
          <w:p>
            <w:pPr>
              <w:widowControl/>
              <w:jc w:val="center"/>
              <w:textAlignment w:val="center"/>
              <w:rPr>
                <w:rFonts w:cs="宋体" w:asciiTheme="minorEastAsia" w:hAnsiTheme="minorEastAsia" w:eastAsiaTheme="minorEastAsia"/>
                <w:kern w:val="0"/>
                <w:szCs w:val="21"/>
              </w:rPr>
            </w:pPr>
            <w:r>
              <w:rPr>
                <w:rFonts w:hint="eastAsia" w:ascii="宋体" w:hAnsi="宋体" w:cs="宋体"/>
                <w:bCs/>
                <w:color w:val="000000"/>
                <w:kern w:val="0"/>
                <w:szCs w:val="21"/>
              </w:rPr>
              <w:t>触摸屏</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widowControl/>
              <w:spacing w:line="360" w:lineRule="auto"/>
              <w:jc w:val="center"/>
              <w:rPr>
                <w:rFonts w:hint="eastAsia" w:cs="仿宋" w:asciiTheme="minorEastAsia" w:hAnsiTheme="minorEastAsia" w:eastAsiaTheme="minorEastAsia"/>
                <w:szCs w:val="21"/>
              </w:rPr>
            </w:pPr>
            <w:r>
              <w:rPr>
                <w:rFonts w:hint="eastAsia" w:ascii="宋体" w:hAnsi="宋体" w:cs="宋体"/>
                <w:kern w:val="0"/>
                <w:szCs w:val="21"/>
              </w:rPr>
              <w:t>1.12</w:t>
            </w:r>
          </w:p>
        </w:tc>
        <w:tc>
          <w:tcPr>
            <w:tcW w:w="1821" w:type="dxa"/>
            <w:vAlign w:val="center"/>
          </w:tcPr>
          <w:p>
            <w:pPr>
              <w:widowControl/>
              <w:jc w:val="center"/>
              <w:textAlignment w:val="center"/>
              <w:rPr>
                <w:rFonts w:cs="宋体" w:asciiTheme="minorEastAsia" w:hAnsiTheme="minorEastAsia" w:eastAsiaTheme="minorEastAsia"/>
                <w:kern w:val="0"/>
                <w:szCs w:val="21"/>
              </w:rPr>
            </w:pPr>
            <w:r>
              <w:rPr>
                <w:rFonts w:hint="eastAsia" w:ascii="宋体" w:hAnsi="宋体" w:cs="宋体"/>
                <w:bCs/>
                <w:color w:val="000000"/>
                <w:kern w:val="0"/>
                <w:szCs w:val="21"/>
              </w:rPr>
              <w:t>激光打印机</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widowControl/>
              <w:spacing w:line="360" w:lineRule="auto"/>
              <w:jc w:val="center"/>
              <w:rPr>
                <w:rFonts w:hint="eastAsia" w:cs="仿宋" w:asciiTheme="minorEastAsia" w:hAnsiTheme="minorEastAsia" w:eastAsiaTheme="minorEastAsia"/>
                <w:szCs w:val="21"/>
              </w:rPr>
            </w:pPr>
            <w:r>
              <w:rPr>
                <w:rFonts w:hint="eastAsia" w:ascii="宋体" w:hAnsi="宋体" w:cs="宋体"/>
                <w:kern w:val="0"/>
                <w:szCs w:val="21"/>
              </w:rPr>
              <w:t>1.13</w:t>
            </w:r>
          </w:p>
        </w:tc>
        <w:tc>
          <w:tcPr>
            <w:tcW w:w="1821" w:type="dxa"/>
            <w:vAlign w:val="center"/>
          </w:tcPr>
          <w:p>
            <w:pPr>
              <w:widowControl/>
              <w:jc w:val="center"/>
              <w:textAlignment w:val="center"/>
              <w:rPr>
                <w:rFonts w:cs="宋体" w:asciiTheme="minorEastAsia" w:hAnsiTheme="minorEastAsia" w:eastAsiaTheme="minorEastAsia"/>
                <w:kern w:val="0"/>
                <w:szCs w:val="21"/>
              </w:rPr>
            </w:pPr>
            <w:r>
              <w:rPr>
                <w:rFonts w:hint="eastAsia" w:ascii="宋体" w:hAnsi="宋体" w:cs="宋体"/>
                <w:bCs/>
                <w:color w:val="000000"/>
                <w:kern w:val="0"/>
                <w:szCs w:val="21"/>
              </w:rPr>
              <w:t>电源线</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widowControl/>
              <w:spacing w:line="360" w:lineRule="auto"/>
              <w:jc w:val="center"/>
              <w:rPr>
                <w:rFonts w:hint="eastAsia" w:cs="仿宋" w:asciiTheme="minorEastAsia" w:hAnsiTheme="minorEastAsia" w:eastAsiaTheme="minorEastAsia"/>
                <w:szCs w:val="21"/>
              </w:rPr>
            </w:pPr>
            <w:r>
              <w:rPr>
                <w:rFonts w:hint="eastAsia" w:ascii="宋体" w:hAnsi="宋体" w:cs="宋体"/>
                <w:kern w:val="0"/>
                <w:szCs w:val="21"/>
              </w:rPr>
              <w:t>1.14</w:t>
            </w:r>
          </w:p>
        </w:tc>
        <w:tc>
          <w:tcPr>
            <w:tcW w:w="1821" w:type="dxa"/>
            <w:vAlign w:val="center"/>
          </w:tcPr>
          <w:p>
            <w:pPr>
              <w:widowControl/>
              <w:jc w:val="center"/>
              <w:textAlignment w:val="center"/>
              <w:rPr>
                <w:rFonts w:cs="宋体" w:asciiTheme="minorEastAsia" w:hAnsiTheme="minorEastAsia" w:eastAsiaTheme="minorEastAsia"/>
                <w:kern w:val="0"/>
                <w:szCs w:val="21"/>
              </w:rPr>
            </w:pPr>
            <w:r>
              <w:rPr>
                <w:rFonts w:hint="eastAsia" w:ascii="宋体" w:hAnsi="宋体" w:cs="宋体"/>
                <w:bCs/>
                <w:color w:val="000000"/>
                <w:kern w:val="0"/>
                <w:szCs w:val="21"/>
              </w:rPr>
              <w:t>操作手册</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widowControl/>
              <w:spacing w:line="360" w:lineRule="auto"/>
              <w:jc w:val="center"/>
              <w:rPr>
                <w:rFonts w:hint="eastAsia" w:cs="仿宋" w:asciiTheme="minorEastAsia" w:hAnsiTheme="minorEastAsia" w:eastAsiaTheme="minorEastAsia"/>
                <w:szCs w:val="21"/>
              </w:rPr>
            </w:pPr>
            <w:r>
              <w:rPr>
                <w:rFonts w:hint="eastAsia" w:ascii="宋体" w:hAnsi="宋体" w:cs="宋体"/>
                <w:kern w:val="0"/>
                <w:szCs w:val="21"/>
              </w:rPr>
              <w:t>1.15</w:t>
            </w:r>
          </w:p>
        </w:tc>
        <w:tc>
          <w:tcPr>
            <w:tcW w:w="1821" w:type="dxa"/>
            <w:vAlign w:val="center"/>
          </w:tcPr>
          <w:p>
            <w:pPr>
              <w:widowControl/>
              <w:jc w:val="center"/>
              <w:textAlignment w:val="center"/>
              <w:rPr>
                <w:rFonts w:cs="宋体" w:asciiTheme="minorEastAsia" w:hAnsiTheme="minorEastAsia" w:eastAsiaTheme="minorEastAsia"/>
                <w:kern w:val="0"/>
                <w:szCs w:val="21"/>
              </w:rPr>
            </w:pPr>
            <w:r>
              <w:rPr>
                <w:rFonts w:hint="eastAsia" w:ascii="宋体" w:hAnsi="宋体" w:cs="宋体"/>
                <w:bCs/>
                <w:kern w:val="0"/>
                <w:szCs w:val="21"/>
              </w:rPr>
              <w:t>软件系统</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widowControl/>
              <w:spacing w:line="360" w:lineRule="auto"/>
              <w:jc w:val="center"/>
              <w:rPr>
                <w:rFonts w:hint="eastAsia" w:cs="仿宋" w:asciiTheme="minorEastAsia" w:hAnsiTheme="minorEastAsia" w:eastAsiaTheme="minorEastAsia"/>
                <w:szCs w:val="21"/>
              </w:rPr>
            </w:pPr>
            <w:r>
              <w:rPr>
                <w:rFonts w:hint="eastAsia" w:ascii="宋体" w:hAnsi="宋体" w:cs="宋体"/>
                <w:kern w:val="0"/>
                <w:szCs w:val="21"/>
              </w:rPr>
              <w:t>1.16</w:t>
            </w:r>
          </w:p>
        </w:tc>
        <w:tc>
          <w:tcPr>
            <w:tcW w:w="1821" w:type="dxa"/>
            <w:vAlign w:val="center"/>
          </w:tcPr>
          <w:p>
            <w:pPr>
              <w:widowControl/>
              <w:jc w:val="center"/>
              <w:textAlignment w:val="center"/>
              <w:rPr>
                <w:rFonts w:cs="宋体" w:asciiTheme="minorEastAsia" w:hAnsiTheme="minorEastAsia" w:eastAsiaTheme="minorEastAsia"/>
                <w:kern w:val="0"/>
                <w:szCs w:val="21"/>
              </w:rPr>
            </w:pPr>
            <w:r>
              <w:rPr>
                <w:rFonts w:hint="eastAsia" w:ascii="宋体" w:hAnsi="宋体" w:cs="宋体"/>
                <w:bCs/>
                <w:kern w:val="0"/>
                <w:szCs w:val="21"/>
              </w:rPr>
              <w:t>工作台</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widowControl/>
              <w:spacing w:line="360" w:lineRule="auto"/>
              <w:jc w:val="center"/>
              <w:rPr>
                <w:rFonts w:hint="eastAsia" w:cs="仿宋" w:asciiTheme="minorEastAsia" w:hAnsiTheme="minorEastAsia" w:eastAsiaTheme="minorEastAsia"/>
                <w:szCs w:val="21"/>
              </w:rPr>
            </w:pPr>
            <w:r>
              <w:rPr>
                <w:rFonts w:hint="eastAsia" w:ascii="宋体" w:hAnsi="宋体" w:cs="宋体"/>
                <w:kern w:val="0"/>
                <w:szCs w:val="21"/>
              </w:rPr>
              <w:t>1.17</w:t>
            </w:r>
          </w:p>
        </w:tc>
        <w:tc>
          <w:tcPr>
            <w:tcW w:w="1821" w:type="dxa"/>
            <w:vAlign w:val="center"/>
          </w:tcPr>
          <w:p>
            <w:pPr>
              <w:widowControl/>
              <w:jc w:val="center"/>
              <w:textAlignment w:val="center"/>
              <w:rPr>
                <w:rFonts w:cs="宋体" w:asciiTheme="minorEastAsia" w:hAnsiTheme="minorEastAsia" w:eastAsiaTheme="minorEastAsia"/>
                <w:kern w:val="0"/>
                <w:szCs w:val="21"/>
              </w:rPr>
            </w:pPr>
            <w:r>
              <w:rPr>
                <w:rFonts w:hint="eastAsia" w:ascii="宋体" w:hAnsi="宋体" w:cs="宋体"/>
                <w:bCs/>
                <w:kern w:val="0"/>
                <w:szCs w:val="21"/>
              </w:rPr>
              <w:t>对接体检软件</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65" w:type="dxa"/>
            <w:gridSpan w:val="11"/>
            <w:vAlign w:val="center"/>
          </w:tcPr>
          <w:p>
            <w:pPr>
              <w:adjustRightInd w:val="0"/>
              <w:snapToGrid w:val="0"/>
              <w:spacing w:line="300" w:lineRule="auto"/>
              <w:jc w:val="left"/>
              <w:rPr>
                <w:rFonts w:asciiTheme="minorEastAsia" w:hAnsiTheme="minorEastAsia" w:eastAsiaTheme="minorEastAsia"/>
                <w:snapToGrid w:val="0"/>
                <w:kern w:val="0"/>
              </w:rPr>
            </w:pPr>
            <w:r>
              <w:rPr>
                <w:rFonts w:hint="eastAsia" w:asciiTheme="minorEastAsia" w:hAnsiTheme="minorEastAsia" w:eastAsiaTheme="minorEastAsia"/>
                <w:sz w:val="24"/>
              </w:rPr>
              <w:t>总计（即投标总价；币种：人民币；单位：元）：</w:t>
            </w:r>
          </w:p>
        </w:tc>
      </w:tr>
    </w:tbl>
    <w:p>
      <w:pPr>
        <w:rPr>
          <w:rFonts w:asciiTheme="minorEastAsia" w:hAnsiTheme="minorEastAsia" w:eastAsiaTheme="minorEastAsia"/>
        </w:rPr>
      </w:pPr>
      <w:r>
        <w:rPr>
          <w:rFonts w:hint="eastAsia" w:asciiTheme="minorEastAsia" w:hAnsiTheme="minorEastAsia" w:eastAsiaTheme="minorEastAsia"/>
          <w:snapToGrid w:val="0"/>
          <w:kern w:val="0"/>
        </w:rPr>
        <w:t>注：</w:t>
      </w:r>
      <w:r>
        <w:rPr>
          <w:rFonts w:hint="eastAsia" w:asciiTheme="minorEastAsia" w:hAnsiTheme="minorEastAsia" w:eastAsiaTheme="minorEastAsia"/>
        </w:rPr>
        <w:t>1. 本表</w:t>
      </w:r>
      <w:r>
        <w:rPr>
          <w:rFonts w:asciiTheme="minorEastAsia" w:hAnsiTheme="minorEastAsia" w:eastAsiaTheme="minorEastAsia"/>
        </w:rPr>
        <w:t>应</w:t>
      </w:r>
      <w:r>
        <w:rPr>
          <w:rFonts w:hint="eastAsia" w:asciiTheme="minorEastAsia" w:hAnsiTheme="minorEastAsia" w:eastAsiaTheme="minorEastAsia"/>
        </w:rPr>
        <w:t>根据</w:t>
      </w:r>
      <w:r>
        <w:rPr>
          <w:rFonts w:hint="eastAsia" w:ascii="宋体" w:hAnsi="宋体" w:cs="Arial"/>
          <w:bCs/>
          <w:szCs w:val="21"/>
        </w:rPr>
        <w:t>招标文件第二章《项目需求》中</w:t>
      </w:r>
      <w:r>
        <w:rPr>
          <w:rFonts w:hint="eastAsia" w:asciiTheme="minorEastAsia" w:hAnsiTheme="minorEastAsia" w:eastAsiaTheme="minorEastAsia"/>
        </w:rPr>
        <w:t>“一、采购范围”的</w:t>
      </w:r>
      <w:r>
        <w:rPr>
          <w:rFonts w:hint="eastAsia" w:asciiTheme="minorEastAsia" w:hAnsiTheme="minorEastAsia" w:eastAsiaTheme="minorEastAsia"/>
          <w:b/>
          <w:szCs w:val="21"/>
        </w:rPr>
        <w:t>“（二）货物清单明细和配置清单明细（配置清单不低于以下配置）”</w:t>
      </w:r>
      <w:r>
        <w:rPr>
          <w:rFonts w:hint="eastAsia" w:asciiTheme="minorEastAsia" w:hAnsiTheme="minorEastAsia" w:eastAsiaTheme="minorEastAsia"/>
        </w:rPr>
        <w:t>填写</w:t>
      </w:r>
      <w:r>
        <w:rPr>
          <w:rFonts w:asciiTheme="minorEastAsia" w:hAnsiTheme="minorEastAsia" w:eastAsiaTheme="minorEastAsia"/>
        </w:rPr>
        <w:t>，</w:t>
      </w:r>
      <w:r>
        <w:rPr>
          <w:rFonts w:hint="eastAsia" w:asciiTheme="minorEastAsia" w:hAnsiTheme="minorEastAsia" w:eastAsiaTheme="minorEastAsia"/>
          <w:b/>
        </w:rPr>
        <w:t>本表格式不得修改</w:t>
      </w:r>
      <w:r>
        <w:rPr>
          <w:rFonts w:hint="eastAsia" w:asciiTheme="minorEastAsia" w:hAnsiTheme="minorEastAsia" w:eastAsiaTheme="minorEastAsia"/>
        </w:rPr>
        <w:t>（续行除外）。</w:t>
      </w:r>
      <w:r>
        <w:rPr>
          <w:rFonts w:hint="eastAsia" w:asciiTheme="minorEastAsia" w:hAnsiTheme="minorEastAsia" w:eastAsiaTheme="minorEastAsia"/>
          <w:b/>
        </w:rPr>
        <w:t>对于定制类产品，可以不填写品牌、型号等信息，但必须注明“定制”，否则该产品技术参数按负偏离处理</w:t>
      </w:r>
      <w:r>
        <w:rPr>
          <w:rFonts w:asciiTheme="minorEastAsia" w:hAnsiTheme="minorEastAsia" w:eastAsiaTheme="minorEastAsia"/>
          <w:b/>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2、投标人必须对照进口产品的规定明确其投标产品是否为进口产品。</w:t>
      </w:r>
      <w:r>
        <w:rPr>
          <w:rFonts w:hint="eastAsia" w:asciiTheme="minorEastAsia" w:hAnsiTheme="minorEastAsia" w:eastAsiaTheme="minorEastAsia"/>
          <w:snapToGrid w:val="0"/>
        </w:rPr>
        <w:t>进口产品是指通过中国海关报关验放进入中国境内且产自关境外的产品，相关内容以“财库【2007】119号文”和“财办库【2008】248号文”的相关规定为准</w:t>
      </w:r>
      <w:r>
        <w:rPr>
          <w:rFonts w:hint="eastAsia" w:asciiTheme="minorEastAsia" w:hAnsiTheme="minorEastAsia" w:eastAsiaTheme="minorEastAsia"/>
        </w:rPr>
        <w:t>。对于采购进口产品的项目，</w:t>
      </w:r>
      <w:r>
        <w:rPr>
          <w:rFonts w:hint="eastAsia" w:asciiTheme="minorEastAsia" w:hAnsiTheme="minorEastAsia" w:eastAsiaTheme="minorEastAsia"/>
          <w:snapToGrid w:val="0"/>
        </w:rPr>
        <w:t>优先采购向我国企业转让技术、与我国企业签订消化吸收再创新方案的供应商的进口产品</w:t>
      </w:r>
      <w:r>
        <w:rPr>
          <w:rFonts w:hint="eastAsia" w:asciiTheme="minorEastAsia" w:hAnsiTheme="minorEastAsia" w:eastAsiaTheme="minorEastAsia"/>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3、投标总价应为以上各分项价格之和；投标总价和表中单个采购条目报价均不得超过对应的财政预算限额，否则将导致无效投标。</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4、开标一览表中的投标</w:t>
      </w:r>
      <w:r>
        <w:rPr>
          <w:rFonts w:hint="eastAsia"/>
          <w:snapToGrid w:val="0"/>
          <w:kern w:val="0"/>
        </w:rPr>
        <w:t>总</w:t>
      </w:r>
      <w:r>
        <w:rPr>
          <w:rFonts w:hint="eastAsia" w:asciiTheme="minorEastAsia" w:hAnsiTheme="minorEastAsia" w:eastAsiaTheme="minorEastAsia"/>
        </w:rPr>
        <w:t>价应与本表中的投标总价金额一致。</w:t>
      </w:r>
    </w:p>
    <w:p>
      <w:pPr>
        <w:adjustRightInd w:val="0"/>
        <w:snapToGrid w:val="0"/>
        <w:spacing w:line="300" w:lineRule="auto"/>
        <w:rPr>
          <w:rFonts w:asciiTheme="minorEastAsia" w:hAnsiTheme="minorEastAsia" w:eastAsiaTheme="minorEastAsia"/>
          <w:snapToGrid w:val="0"/>
          <w:kern w:val="0"/>
        </w:rPr>
      </w:pPr>
      <w:r>
        <w:rPr>
          <w:rFonts w:hint="eastAsia" w:asciiTheme="minorEastAsia" w:hAnsiTheme="minorEastAsia" w:eastAsiaTheme="minorEastAsia"/>
        </w:rPr>
        <w:t>5、“原产地”是指该产品的实际生产加工地，而非品牌总公司所在地。</w:t>
      </w:r>
      <w:r>
        <w:rPr>
          <w:rFonts w:hint="eastAsia" w:asciiTheme="minorEastAsia" w:hAnsiTheme="minorEastAsia" w:eastAsiaTheme="minorEastAsia"/>
        </w:rPr>
        <w:br w:type="textWrapping"/>
      </w:r>
      <w:r>
        <w:rPr>
          <w:rFonts w:hint="eastAsia" w:asciiTheme="minorEastAsia" w:hAnsiTheme="minorEastAsia" w:eastAsiaTheme="minorEastAsia"/>
          <w:highlight w:val="yellow"/>
        </w:rPr>
        <w:t>6、清单中报价有误或缺漏的（非严重缺漏项），不作废标，允许供应商澄清，但总价不得改变。该清单将作为合同签定的附件。</w:t>
      </w:r>
    </w:p>
    <w:p>
      <w:pPr>
        <w:adjustRightInd w:val="0"/>
        <w:snapToGrid w:val="0"/>
        <w:spacing w:line="300" w:lineRule="auto"/>
        <w:jc w:val="center"/>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rPr>
      </w:pPr>
    </w:p>
    <w:p>
      <w:pPr>
        <w:pStyle w:val="346"/>
        <w:jc w:val="center"/>
        <w:rPr>
          <w:rFonts w:ascii="宋体" w:hAnsi="宋体" w:cs="宋体"/>
        </w:rPr>
      </w:pPr>
      <w:r>
        <w:rPr>
          <w:rFonts w:hint="eastAsia" w:ascii="宋体" w:hAnsi="宋体" w:cs="宋体"/>
          <w:color w:val="000000"/>
          <w:kern w:val="0"/>
        </w:rPr>
        <w:t>（三）《主要易损配件维修初步报价单》（不包括在投标总价内）</w:t>
      </w:r>
      <w:r>
        <w:rPr>
          <w:rFonts w:hint="eastAsia" w:asciiTheme="majorEastAsia" w:hAnsiTheme="majorEastAsia" w:eastAsiaTheme="majorEastAsia"/>
        </w:rPr>
        <w:br w:type="textWrapping"/>
      </w:r>
    </w:p>
    <w:tbl>
      <w:tblPr>
        <w:tblStyle w:val="50"/>
        <w:tblpPr w:leftFromText="180" w:rightFromText="180" w:vertAnchor="text" w:horzAnchor="margin" w:tblpXSpec="center" w:tblpY="1"/>
        <w:tblW w:w="10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3403"/>
        <w:gridCol w:w="1377"/>
        <w:gridCol w:w="1381"/>
        <w:gridCol w:w="1041"/>
        <w:gridCol w:w="1330"/>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0676" w:type="dxa"/>
            <w:gridSpan w:val="7"/>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s="宋体"/>
                <w:b/>
                <w:bCs/>
                <w:kern w:val="0"/>
                <w:sz w:val="24"/>
              </w:rPr>
            </w:pPr>
            <w:r>
              <w:rPr>
                <w:rFonts w:hint="eastAsia" w:ascii="宋体" w:hAnsi="宋体" w:cs="宋体"/>
                <w:b/>
                <w:bCs/>
                <w:kern w:val="0"/>
                <w:sz w:val="24"/>
              </w:rPr>
              <w:t>设备主要易损配件维修报价单</w:t>
            </w:r>
          </w:p>
          <w:p>
            <w:pPr>
              <w:widowControl/>
              <w:spacing w:line="360" w:lineRule="auto"/>
              <w:jc w:val="center"/>
              <w:rPr>
                <w:rFonts w:ascii="宋体" w:hAnsi="宋体" w:cs="宋体"/>
                <w:b/>
                <w:bCs/>
                <w:kern w:val="0"/>
                <w:sz w:val="24"/>
              </w:rPr>
            </w:pPr>
            <w:r>
              <w:rPr>
                <w:rFonts w:hint="eastAsia" w:ascii="宋体" w:hAnsi="宋体" w:cs="宋体"/>
                <w:b/>
                <w:bCs/>
                <w:kern w:val="0"/>
                <w:sz w:val="24"/>
              </w:rPr>
              <w:t>注：1、本表主要用于发生人为损坏等质保除外情形，需要采购人付费维修时参考使用，</w:t>
            </w:r>
          </w:p>
          <w:p>
            <w:pPr>
              <w:widowControl/>
              <w:spacing w:line="360" w:lineRule="auto"/>
              <w:jc w:val="center"/>
              <w:rPr>
                <w:rFonts w:ascii="宋体" w:hAnsi="宋体" w:cs="宋体"/>
                <w:b/>
                <w:bCs/>
                <w:kern w:val="0"/>
                <w:sz w:val="24"/>
              </w:rPr>
            </w:pPr>
            <w:r>
              <w:rPr>
                <w:rFonts w:hint="eastAsia" w:ascii="宋体" w:hAnsi="宋体" w:cs="宋体"/>
                <w:b/>
                <w:bCs/>
                <w:kern w:val="0"/>
                <w:sz w:val="24"/>
              </w:rPr>
              <w:t>2、本价格为投标人参与后续议价的最高限价，配件最终成交价以采购人实际采购结果为准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18"/>
                <w:szCs w:val="18"/>
              </w:rPr>
            </w:pPr>
            <w:r>
              <w:rPr>
                <w:rFonts w:hint="eastAsia" w:ascii="宋体" w:hAnsi="宋体" w:cs="宋体"/>
                <w:kern w:val="0"/>
                <w:sz w:val="18"/>
                <w:szCs w:val="18"/>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配件名称（中文）</w:t>
            </w:r>
          </w:p>
        </w:tc>
        <w:tc>
          <w:tcPr>
            <w:tcW w:w="13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单位</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单价（元）</w:t>
            </w: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规格</w:t>
            </w:r>
            <w:r>
              <w:rPr>
                <w:szCs w:val="21"/>
              </w:rPr>
              <w:t>/</w:t>
            </w:r>
            <w:r>
              <w:rPr>
                <w:rFonts w:hint="eastAsia"/>
                <w:szCs w:val="21"/>
              </w:rPr>
              <w:t>型号</w:t>
            </w:r>
          </w:p>
        </w:tc>
        <w:tc>
          <w:tcPr>
            <w:tcW w:w="133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原产地</w:t>
            </w:r>
          </w:p>
        </w:tc>
        <w:tc>
          <w:tcPr>
            <w:tcW w:w="13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维修周期（采购人提出要求至配件复位时间）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817"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r>
              <w:rPr>
                <w:rFonts w:hint="eastAsia" w:ascii="宋体" w:hAnsi="宋体" w:cs="宋体"/>
                <w:kern w:val="0"/>
                <w:sz w:val="24"/>
              </w:rPr>
              <w:t>1</w:t>
            </w:r>
          </w:p>
        </w:tc>
        <w:tc>
          <w:tcPr>
            <w:tcW w:w="3402"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r>
              <w:rPr>
                <w:rFonts w:hint="eastAsia" w:ascii="宋体" w:hAnsi="宋体" w:cs="宋体"/>
                <w:kern w:val="0"/>
                <w:sz w:val="24"/>
              </w:rPr>
              <w:t>上臂传感袖带</w:t>
            </w:r>
          </w:p>
        </w:tc>
        <w:tc>
          <w:tcPr>
            <w:tcW w:w="1376"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80"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041"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30"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kern w:val="0"/>
                <w:sz w:val="24"/>
              </w:rPr>
            </w:pPr>
          </w:p>
        </w:tc>
        <w:tc>
          <w:tcPr>
            <w:tcW w:w="1330"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817"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r>
              <w:rPr>
                <w:rFonts w:hint="eastAsia" w:ascii="宋体" w:hAnsi="宋体" w:cs="宋体"/>
                <w:kern w:val="0"/>
                <w:sz w:val="24"/>
              </w:rPr>
              <w:t>2</w:t>
            </w:r>
          </w:p>
        </w:tc>
        <w:tc>
          <w:tcPr>
            <w:tcW w:w="3402"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r>
              <w:rPr>
                <w:rFonts w:hint="eastAsia" w:ascii="宋体" w:hAnsi="宋体" w:cs="宋体"/>
                <w:kern w:val="0"/>
                <w:sz w:val="24"/>
              </w:rPr>
              <w:t>脚踝传感袖带</w:t>
            </w:r>
          </w:p>
        </w:tc>
        <w:tc>
          <w:tcPr>
            <w:tcW w:w="1376"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80"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041"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30"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kern w:val="0"/>
                <w:sz w:val="24"/>
              </w:rPr>
            </w:pPr>
          </w:p>
        </w:tc>
        <w:tc>
          <w:tcPr>
            <w:tcW w:w="1330"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817"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r>
              <w:rPr>
                <w:rFonts w:hint="eastAsia" w:ascii="宋体" w:hAnsi="宋体" w:cs="宋体"/>
                <w:kern w:val="0"/>
                <w:sz w:val="24"/>
              </w:rPr>
              <w:t>合计</w:t>
            </w:r>
          </w:p>
        </w:tc>
        <w:tc>
          <w:tcPr>
            <w:tcW w:w="3402"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76"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80"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r>
              <w:rPr>
                <w:rFonts w:hint="eastAsia" w:ascii="宋体" w:hAnsi="宋体" w:cs="宋体"/>
                <w:kern w:val="0"/>
                <w:sz w:val="24"/>
              </w:rPr>
              <w:t>*元</w:t>
            </w:r>
          </w:p>
        </w:tc>
        <w:tc>
          <w:tcPr>
            <w:tcW w:w="1041"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30"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kern w:val="0"/>
                <w:sz w:val="24"/>
              </w:rPr>
            </w:pPr>
          </w:p>
        </w:tc>
        <w:tc>
          <w:tcPr>
            <w:tcW w:w="1330"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r>
    </w:tbl>
    <w:p>
      <w:pPr>
        <w:adjustRightInd w:val="0"/>
        <w:snapToGrid w:val="0"/>
        <w:spacing w:line="300" w:lineRule="auto"/>
        <w:ind w:firstLine="285" w:firstLineChars="135"/>
        <w:jc w:val="left"/>
        <w:rPr>
          <w:rFonts w:asciiTheme="minorEastAsia" w:hAnsiTheme="minorEastAsia" w:eastAsiaTheme="minorEastAsia"/>
          <w:snapToGrid w:val="0"/>
          <w:kern w:val="0"/>
        </w:rPr>
      </w:pPr>
      <w:r>
        <w:rPr>
          <w:rFonts w:hint="eastAsia" w:asciiTheme="minorEastAsia" w:hAnsiTheme="minorEastAsia" w:eastAsiaTheme="minorEastAsia"/>
          <w:b/>
          <w:snapToGrid w:val="0"/>
          <w:color w:val="000000"/>
          <w:kern w:val="0"/>
        </w:rPr>
        <w:br w:type="textWrapping"/>
      </w:r>
      <w:r>
        <w:rPr>
          <w:rFonts w:hint="eastAsia" w:asciiTheme="minorEastAsia" w:hAnsiTheme="minorEastAsia" w:eastAsiaTheme="minorEastAsia"/>
          <w:b/>
          <w:snapToGrid w:val="0"/>
          <w:color w:val="000000"/>
          <w:kern w:val="0"/>
        </w:rPr>
        <w:br w:type="textWrapping"/>
      </w:r>
    </w:p>
    <w:p>
      <w:pPr>
        <w:adjustRightInd w:val="0"/>
        <w:snapToGrid w:val="0"/>
        <w:spacing w:line="300" w:lineRule="auto"/>
        <w:ind w:firstLine="283" w:firstLineChars="135"/>
        <w:jc w:val="center"/>
        <w:rPr>
          <w:rFonts w:ascii="宋体" w:hAnsi="宋体" w:cs="宋体"/>
          <w:sz w:val="32"/>
          <w:szCs w:val="32"/>
        </w:rPr>
      </w:pPr>
      <w:r>
        <w:rPr>
          <w:rFonts w:hint="eastAsia" w:asciiTheme="minorEastAsia" w:hAnsiTheme="minorEastAsia" w:eastAsiaTheme="minorEastAsia"/>
          <w:snapToGrid w:val="0"/>
          <w:kern w:val="0"/>
        </w:rPr>
        <w:br w:type="textWrapping"/>
      </w:r>
      <w:r>
        <w:rPr>
          <w:rFonts w:hint="eastAsia" w:ascii="宋体" w:hAnsi="宋体" w:cs="宋体"/>
          <w:color w:val="000000"/>
          <w:kern w:val="0"/>
        </w:rPr>
        <w:t>（</w:t>
      </w:r>
      <w:r>
        <w:rPr>
          <w:rFonts w:hint="eastAsia" w:ascii="宋体" w:hAnsi="宋体" w:cs="宋体"/>
          <w:color w:val="000000"/>
          <w:kern w:val="0"/>
          <w:lang w:val="en-US" w:eastAsia="zh-CN"/>
        </w:rPr>
        <w:t>四</w:t>
      </w:r>
      <w:r>
        <w:rPr>
          <w:rFonts w:hint="eastAsia" w:ascii="宋体" w:hAnsi="宋体" w:cs="宋体"/>
          <w:color w:val="000000"/>
          <w:kern w:val="0"/>
        </w:rPr>
        <w:t>）《延续整机原厂维保服务报价单》（不包括在投标总价内）</w:t>
      </w:r>
    </w:p>
    <w:p>
      <w:pPr>
        <w:ind w:firstLine="422" w:firstLineChars="200"/>
        <w:rPr>
          <w:b/>
          <w:bCs/>
        </w:rPr>
      </w:pPr>
    </w:p>
    <w:tbl>
      <w:tblPr>
        <w:tblStyle w:val="50"/>
        <w:tblW w:w="53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3"/>
        <w:gridCol w:w="2999"/>
        <w:gridCol w:w="2131"/>
        <w:gridCol w:w="4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5000" w:type="pct"/>
            <w:gridSpan w:val="4"/>
            <w:tcBorders>
              <w:top w:val="single" w:color="auto" w:sz="4" w:space="0"/>
              <w:left w:val="single" w:color="auto" w:sz="4" w:space="0"/>
              <w:bottom w:val="single" w:color="auto" w:sz="4" w:space="0"/>
              <w:right w:val="single" w:color="auto" w:sz="4" w:space="0"/>
            </w:tcBorders>
          </w:tcPr>
          <w:p>
            <w:pPr>
              <w:jc w:val="center"/>
              <w:rPr>
                <w:rFonts w:ascii="宋体" w:hAnsi="宋体" w:cs="宋体"/>
                <w:b/>
                <w:bCs/>
                <w:kern w:val="0"/>
                <w:sz w:val="24"/>
              </w:rPr>
            </w:pPr>
            <w:r>
              <w:rPr>
                <w:rFonts w:hint="eastAsia" w:ascii="宋体" w:hAnsi="宋体" w:cs="宋体"/>
                <w:b/>
                <w:bCs/>
                <w:kern w:val="0"/>
                <w:sz w:val="24"/>
              </w:rPr>
              <w:t>延续保修</w:t>
            </w:r>
          </w:p>
          <w:p>
            <w:pPr>
              <w:pStyle w:val="346"/>
            </w:pPr>
            <w:r>
              <w:rPr>
                <w:rFonts w:hint="eastAsia" w:ascii="宋体" w:hAnsi="宋体" w:cs="宋体"/>
                <w:b/>
                <w:bCs w:val="0"/>
              </w:rPr>
              <w:t>注：本价格为投标人参与后续采购的最高限价，延续维保服务最终成交价以采购人实际采购结果为准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598" w:type="pct"/>
            <w:tcBorders>
              <w:top w:val="single" w:color="auto" w:sz="4" w:space="0"/>
              <w:left w:val="single" w:color="auto" w:sz="4" w:space="0"/>
              <w:bottom w:val="single" w:color="auto" w:sz="4" w:space="0"/>
              <w:right w:val="single" w:color="auto" w:sz="4" w:space="0"/>
            </w:tcBorders>
          </w:tcPr>
          <w:p>
            <w:pPr>
              <w:jc w:val="center"/>
              <w:rPr>
                <w:szCs w:val="21"/>
              </w:rPr>
            </w:pPr>
            <w:r>
              <w:rPr>
                <w:rFonts w:hint="eastAsia"/>
                <w:szCs w:val="21"/>
              </w:rPr>
              <w:t>序号</w:t>
            </w:r>
          </w:p>
        </w:tc>
        <w:tc>
          <w:tcPr>
            <w:tcW w:w="1431" w:type="pct"/>
            <w:tcBorders>
              <w:top w:val="single" w:color="auto" w:sz="4" w:space="0"/>
              <w:left w:val="nil"/>
              <w:bottom w:val="single" w:color="auto" w:sz="4" w:space="0"/>
              <w:right w:val="single" w:color="auto" w:sz="4" w:space="0"/>
            </w:tcBorders>
          </w:tcPr>
          <w:p>
            <w:pPr>
              <w:jc w:val="center"/>
              <w:rPr>
                <w:szCs w:val="21"/>
              </w:rPr>
            </w:pPr>
            <w:r>
              <w:rPr>
                <w:rFonts w:hint="eastAsia"/>
                <w:szCs w:val="21"/>
              </w:rPr>
              <w:t>服务名称</w:t>
            </w:r>
          </w:p>
        </w:tc>
        <w:tc>
          <w:tcPr>
            <w:tcW w:w="1017" w:type="pct"/>
            <w:tcBorders>
              <w:top w:val="single" w:color="auto" w:sz="4" w:space="0"/>
              <w:left w:val="nil"/>
              <w:bottom w:val="single" w:color="auto" w:sz="4" w:space="0"/>
              <w:right w:val="single" w:color="auto" w:sz="4" w:space="0"/>
            </w:tcBorders>
          </w:tcPr>
          <w:p>
            <w:pPr>
              <w:jc w:val="center"/>
              <w:rPr>
                <w:szCs w:val="21"/>
              </w:rPr>
            </w:pPr>
            <w:r>
              <w:rPr>
                <w:rFonts w:hint="eastAsia"/>
                <w:szCs w:val="21"/>
              </w:rPr>
              <w:t>服务内容</w:t>
            </w:r>
          </w:p>
        </w:tc>
        <w:tc>
          <w:tcPr>
            <w:tcW w:w="1954" w:type="pct"/>
            <w:tcBorders>
              <w:top w:val="single" w:color="auto" w:sz="4" w:space="0"/>
              <w:left w:val="nil"/>
              <w:bottom w:val="single" w:color="auto" w:sz="4" w:space="0"/>
              <w:right w:val="single" w:color="auto" w:sz="4" w:space="0"/>
            </w:tcBorders>
          </w:tcPr>
          <w:p>
            <w:pPr>
              <w:jc w:val="center"/>
              <w:rPr>
                <w:szCs w:val="21"/>
              </w:rPr>
            </w:pPr>
            <w:r>
              <w:rPr>
                <w:rFonts w:hint="eastAsia"/>
                <w:szCs w:val="21"/>
              </w:rPr>
              <w:t>价格（万元</w:t>
            </w:r>
            <w:r>
              <w:rPr>
                <w:szCs w:val="21"/>
              </w:rPr>
              <w:t>/</w:t>
            </w:r>
            <w:r>
              <w:rPr>
                <w:rFonts w:hint="eastAsia"/>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598" w:type="pct"/>
            <w:tcBorders>
              <w:top w:val="single" w:color="auto" w:sz="4" w:space="0"/>
              <w:left w:val="single" w:color="auto" w:sz="4" w:space="0"/>
              <w:bottom w:val="single" w:color="auto" w:sz="4" w:space="0"/>
              <w:right w:val="single" w:color="auto" w:sz="4" w:space="0"/>
            </w:tcBorders>
          </w:tcPr>
          <w:p>
            <w:pPr>
              <w:ind w:right="-69" w:rightChars="-33"/>
              <w:jc w:val="center"/>
              <w:rPr>
                <w:szCs w:val="21"/>
              </w:rPr>
            </w:pPr>
            <w:r>
              <w:rPr>
                <w:szCs w:val="21"/>
              </w:rPr>
              <w:t>1</w:t>
            </w:r>
          </w:p>
        </w:tc>
        <w:tc>
          <w:tcPr>
            <w:tcW w:w="1431" w:type="pct"/>
            <w:tcBorders>
              <w:top w:val="single" w:color="auto" w:sz="4" w:space="0"/>
              <w:left w:val="nil"/>
              <w:bottom w:val="single" w:color="auto" w:sz="4" w:space="0"/>
              <w:right w:val="single" w:color="auto" w:sz="4" w:space="0"/>
            </w:tcBorders>
          </w:tcPr>
          <w:p>
            <w:pPr>
              <w:jc w:val="center"/>
              <w:rPr>
                <w:szCs w:val="21"/>
              </w:rPr>
            </w:pPr>
            <w:r>
              <w:rPr>
                <w:rFonts w:hint="eastAsia"/>
                <w:szCs w:val="21"/>
              </w:rPr>
              <w:t>延续整机原厂维保服务</w:t>
            </w:r>
          </w:p>
        </w:tc>
        <w:tc>
          <w:tcPr>
            <w:tcW w:w="1017" w:type="pct"/>
            <w:tcBorders>
              <w:top w:val="single" w:color="auto" w:sz="4" w:space="0"/>
              <w:left w:val="nil"/>
              <w:bottom w:val="single" w:color="auto" w:sz="4" w:space="0"/>
              <w:right w:val="single" w:color="auto" w:sz="4" w:space="0"/>
            </w:tcBorders>
          </w:tcPr>
          <w:p>
            <w:pPr>
              <w:jc w:val="center"/>
              <w:rPr>
                <w:b/>
                <w:bCs/>
                <w:szCs w:val="21"/>
              </w:rPr>
            </w:pPr>
          </w:p>
        </w:tc>
        <w:tc>
          <w:tcPr>
            <w:tcW w:w="1954" w:type="pct"/>
            <w:tcBorders>
              <w:top w:val="single" w:color="auto" w:sz="4" w:space="0"/>
              <w:left w:val="nil"/>
              <w:bottom w:val="single" w:color="auto" w:sz="4" w:space="0"/>
              <w:right w:val="single" w:color="auto" w:sz="4" w:space="0"/>
            </w:tcBorders>
          </w:tcPr>
          <w:p>
            <w:pPr>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598" w:type="pct"/>
            <w:tcBorders>
              <w:top w:val="single" w:color="auto" w:sz="4" w:space="0"/>
              <w:left w:val="single" w:color="auto" w:sz="4" w:space="0"/>
              <w:bottom w:val="single" w:color="auto" w:sz="4" w:space="0"/>
              <w:right w:val="single" w:color="auto" w:sz="4" w:space="0"/>
            </w:tcBorders>
          </w:tcPr>
          <w:p>
            <w:pPr>
              <w:ind w:right="-69" w:rightChars="-33"/>
              <w:jc w:val="center"/>
              <w:rPr>
                <w:szCs w:val="21"/>
              </w:rPr>
            </w:pPr>
          </w:p>
        </w:tc>
        <w:tc>
          <w:tcPr>
            <w:tcW w:w="1431" w:type="pct"/>
            <w:tcBorders>
              <w:top w:val="single" w:color="auto" w:sz="4" w:space="0"/>
              <w:left w:val="nil"/>
              <w:bottom w:val="single" w:color="auto" w:sz="4" w:space="0"/>
              <w:right w:val="single" w:color="auto" w:sz="4" w:space="0"/>
            </w:tcBorders>
          </w:tcPr>
          <w:p>
            <w:pPr>
              <w:jc w:val="center"/>
              <w:rPr>
                <w:szCs w:val="21"/>
              </w:rPr>
            </w:pPr>
          </w:p>
        </w:tc>
        <w:tc>
          <w:tcPr>
            <w:tcW w:w="1017" w:type="pct"/>
            <w:tcBorders>
              <w:top w:val="single" w:color="auto" w:sz="4" w:space="0"/>
              <w:left w:val="nil"/>
              <w:bottom w:val="single" w:color="auto" w:sz="4" w:space="0"/>
              <w:right w:val="single" w:color="auto" w:sz="4" w:space="0"/>
            </w:tcBorders>
          </w:tcPr>
          <w:p>
            <w:pPr>
              <w:jc w:val="center"/>
              <w:rPr>
                <w:b/>
                <w:bCs/>
                <w:szCs w:val="21"/>
              </w:rPr>
            </w:pPr>
          </w:p>
        </w:tc>
        <w:tc>
          <w:tcPr>
            <w:tcW w:w="1954" w:type="pct"/>
            <w:tcBorders>
              <w:top w:val="single" w:color="auto" w:sz="4" w:space="0"/>
              <w:left w:val="nil"/>
              <w:bottom w:val="single" w:color="auto" w:sz="4" w:space="0"/>
              <w:right w:val="single" w:color="auto" w:sz="4" w:space="0"/>
            </w:tcBorders>
          </w:tcPr>
          <w:p>
            <w:pPr>
              <w:jc w:val="center"/>
              <w:rPr>
                <w:b/>
                <w:bCs/>
                <w:szCs w:val="21"/>
              </w:rPr>
            </w:pPr>
          </w:p>
        </w:tc>
      </w:tr>
    </w:tbl>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w:t>
      </w:r>
      <w:r>
        <w:rPr>
          <w:rFonts w:hint="eastAsia" w:asciiTheme="minorEastAsia" w:hAnsiTheme="minorEastAsia" w:eastAsiaTheme="minorEastAsia"/>
          <w:snapToGrid w:val="0"/>
          <w:kern w:val="0"/>
          <w:lang w:val="en-US" w:eastAsia="zh-CN"/>
        </w:rPr>
        <w:t>五</w:t>
      </w:r>
      <w:r>
        <w:rPr>
          <w:rFonts w:hint="eastAsia" w:asciiTheme="minorEastAsia" w:hAnsiTheme="minorEastAsia" w:eastAsiaTheme="minorEastAsia"/>
          <w:snapToGrid w:val="0"/>
          <w:kern w:val="0"/>
        </w:rPr>
        <w:t>）</w:t>
      </w:r>
      <w:r>
        <w:rPr>
          <w:rFonts w:hint="eastAsia" w:ascii="宋体" w:hAnsi="宋体" w:cs="宋体"/>
          <w:color w:val="000000"/>
          <w:kern w:val="0"/>
          <w:sz w:val="24"/>
        </w:rPr>
        <w:t>【可选】</w:t>
      </w:r>
      <w:r>
        <w:rPr>
          <w:rFonts w:hint="eastAsia" w:asciiTheme="minorEastAsia" w:hAnsiTheme="minorEastAsia" w:eastAsiaTheme="minorEastAsia"/>
          <w:bCs/>
          <w:sz w:val="24"/>
        </w:rPr>
        <w:t>供应商认为需要涉及的其他内容报价清单</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pPr>
      <w:r>
        <w:rPr>
          <w:rFonts w:hint="eastAsia"/>
          <w:snapToGrid w:val="0"/>
          <w:kern w:val="0"/>
        </w:rPr>
        <w:t>年    月   日</w:t>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1" w:name="_Toc44691399"/>
      <w:bookmarkStart w:id="62" w:name="_Toc44691167"/>
      <w:bookmarkStart w:id="63" w:name="_Toc44690708"/>
      <w:bookmarkStart w:id="64" w:name="_Toc44690435"/>
    </w:p>
    <w:p>
      <w:pPr>
        <w:pStyle w:val="7"/>
        <w:ind w:firstLine="480"/>
        <w:rPr>
          <w:rFonts w:asciiTheme="minorEastAsia" w:hAnsiTheme="minorEastAsia" w:eastAsiaTheme="minorEastAsia"/>
          <w:sz w:val="24"/>
        </w:rPr>
      </w:pPr>
    </w:p>
    <w:p>
      <w:pPr>
        <w:pStyle w:val="7"/>
        <w:ind w:firstLine="480"/>
        <w:rPr>
          <w:rFonts w:asciiTheme="minorEastAsia" w:hAnsiTheme="minorEastAsia" w:eastAsiaTheme="minorEastAsia"/>
          <w:sz w:val="24"/>
        </w:rPr>
      </w:pPr>
    </w:p>
    <w:p>
      <w:pPr>
        <w:pStyle w:val="7"/>
        <w:ind w:firstLine="480"/>
        <w:rPr>
          <w:rFonts w:asciiTheme="minorEastAsia" w:hAnsiTheme="minorEastAsia" w:eastAsiaTheme="minorEastAsia"/>
          <w:sz w:val="24"/>
        </w:rPr>
      </w:pPr>
    </w:p>
    <w:p>
      <w:pPr>
        <w:pStyle w:val="7"/>
        <w:ind w:firstLine="480"/>
        <w:rPr>
          <w:rFonts w:asciiTheme="minorEastAsia" w:hAnsiTheme="minorEastAsia" w:eastAsiaTheme="minorEastAsia"/>
          <w:sz w:val="24"/>
        </w:rPr>
      </w:pPr>
    </w:p>
    <w:p>
      <w:pPr>
        <w:pStyle w:val="7"/>
        <w:ind w:firstLine="480"/>
        <w:rPr>
          <w:rFonts w:asciiTheme="minorEastAsia" w:hAnsiTheme="minorEastAsia" w:eastAsiaTheme="minorEastAsia"/>
          <w:sz w:val="24"/>
        </w:rPr>
      </w:pPr>
    </w:p>
    <w:p>
      <w:pPr>
        <w:pStyle w:val="7"/>
        <w:ind w:left="0" w:leftChars="0" w:firstLine="0" w:firstLineChars="0"/>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格式7  技术规格</w:t>
      </w:r>
      <w:bookmarkEnd w:id="61"/>
      <w:bookmarkEnd w:id="62"/>
      <w:bookmarkEnd w:id="63"/>
      <w:bookmarkEnd w:id="64"/>
    </w:p>
    <w:p>
      <w:pPr>
        <w:pStyle w:val="7"/>
      </w:pPr>
    </w:p>
    <w:p>
      <w:pPr>
        <w:spacing w:line="360" w:lineRule="auto"/>
        <w:ind w:left="420"/>
        <w:rPr>
          <w:rFonts w:ascii="宋体" w:hAnsi="宋体"/>
        </w:rPr>
      </w:pPr>
      <w:r>
        <w:rPr>
          <w:rFonts w:hint="eastAsia" w:ascii="宋体" w:hAnsi="宋体"/>
        </w:rPr>
        <w:t>1、对投标产品的整体描述（包括采用文字、表格等形式）</w:t>
      </w:r>
    </w:p>
    <w:p>
      <w:pPr>
        <w:spacing w:line="360" w:lineRule="auto"/>
        <w:ind w:left="420"/>
        <w:rPr>
          <w:rFonts w:ascii="宋体" w:hAnsi="宋体"/>
        </w:rPr>
      </w:pPr>
      <w:r>
        <w:rPr>
          <w:rFonts w:hint="eastAsia" w:ascii="宋体" w:hAnsi="宋体"/>
        </w:rPr>
        <w:t>2、投标产品采用的技术标准</w:t>
      </w:r>
    </w:p>
    <w:p>
      <w:pPr>
        <w:spacing w:line="360" w:lineRule="auto"/>
        <w:ind w:left="420"/>
        <w:rPr>
          <w:rFonts w:ascii="宋体" w:hAnsi="宋体"/>
        </w:rPr>
      </w:pPr>
      <w:r>
        <w:rPr>
          <w:rFonts w:hint="eastAsia" w:ascii="宋体" w:hAnsi="宋体"/>
        </w:rPr>
        <w:t>3、投标产品的性能特点（包括新技术、新工艺、新材料的应用等）</w:t>
      </w:r>
    </w:p>
    <w:p>
      <w:pPr>
        <w:spacing w:line="360" w:lineRule="auto"/>
        <w:ind w:left="420"/>
        <w:rPr>
          <w:rFonts w:ascii="宋体" w:hAnsi="宋体"/>
        </w:rPr>
      </w:pPr>
      <w:r>
        <w:rPr>
          <w:rFonts w:hint="eastAsia" w:ascii="宋体" w:hAnsi="宋体"/>
        </w:rPr>
        <w:t>4、投标产品的外形尺寸图、成品的彩色图样等</w:t>
      </w:r>
    </w:p>
    <w:p>
      <w:pPr>
        <w:spacing w:line="360" w:lineRule="auto"/>
        <w:ind w:left="420"/>
        <w:rPr>
          <w:rFonts w:ascii="宋体" w:hAnsi="宋体"/>
        </w:rPr>
      </w:pPr>
      <w:r>
        <w:rPr>
          <w:rFonts w:hint="eastAsia" w:ascii="宋体" w:hAnsi="宋体"/>
        </w:rPr>
        <w:t>5、投标产品的说明书等</w:t>
      </w:r>
    </w:p>
    <w:p>
      <w:pPr>
        <w:spacing w:line="360" w:lineRule="auto"/>
        <w:ind w:left="420"/>
        <w:rPr>
          <w:rFonts w:ascii="宋体" w:hAnsi="宋体"/>
        </w:rPr>
      </w:pPr>
      <w:r>
        <w:rPr>
          <w:rFonts w:hint="eastAsia" w:ascii="宋体" w:hAnsi="宋体"/>
        </w:rPr>
        <w:t>6、其它</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widowControl/>
        <w:jc w:val="left"/>
        <w:rPr>
          <w:b/>
          <w:szCs w:val="21"/>
        </w:rPr>
      </w:pPr>
      <w:r>
        <w:rPr>
          <w:b/>
          <w:szCs w:val="21"/>
        </w:rPr>
        <w:br w:type="page"/>
      </w:r>
    </w:p>
    <w:p>
      <w:pPr>
        <w:pStyle w:val="28"/>
        <w:adjustRightInd w:val="0"/>
        <w:snapToGrid w:val="0"/>
        <w:spacing w:line="312" w:lineRule="auto"/>
        <w:jc w:val="left"/>
        <w:rPr>
          <w:rFonts w:ascii="Times New Roman" w:hAnsi="Times New Roman"/>
          <w:b/>
          <w:sz w:val="21"/>
          <w:szCs w:val="21"/>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w:t>
      </w:r>
      <w:r>
        <w:rPr>
          <w:rFonts w:asciiTheme="minorEastAsia" w:hAnsiTheme="minorEastAsia" w:eastAsiaTheme="minorEastAsia"/>
          <w:sz w:val="24"/>
        </w:rPr>
        <w:t xml:space="preserve">  交付进度</w:t>
      </w:r>
    </w:p>
    <w:p/>
    <w:p>
      <w:pPr>
        <w:jc w:val="center"/>
      </w:pPr>
      <w:r>
        <w:t>货物交付进度表</w:t>
      </w:r>
    </w:p>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530"/>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bl>
    <w:p/>
    <w:p/>
    <w:p>
      <w:pPr>
        <w:jc w:val="center"/>
      </w:pPr>
      <w:r>
        <w:t>安装调试进度表</w:t>
      </w:r>
    </w:p>
    <w:p>
      <w:pPr>
        <w:jc w:val="center"/>
      </w:pP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851"/>
        <w:gridCol w:w="12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bl>
    <w:p>
      <w:pPr>
        <w:jc w:val="cente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firstLine="6195" w:firstLineChars="2950"/>
        <w:rPr>
          <w:snapToGrid w:val="0"/>
          <w:kern w:val="0"/>
        </w:rPr>
      </w:pPr>
      <w:r>
        <w:rPr>
          <w:rFonts w:hint="eastAsia"/>
          <w:snapToGrid w:val="0"/>
          <w:kern w:val="0"/>
        </w:rPr>
        <w:t>年       月      日</w:t>
      </w:r>
    </w:p>
    <w:p>
      <w:pPr>
        <w:pStyle w:val="3"/>
        <w:spacing w:before="0"/>
        <w:rPr>
          <w:rFonts w:ascii="宋体" w:hAnsi="宋体"/>
          <w:sz w:val="28"/>
        </w:rPr>
      </w:pPr>
    </w:p>
    <w:p/>
    <w:p/>
    <w:p/>
    <w:p/>
    <w:p/>
    <w:p/>
    <w:p/>
    <w:p/>
    <w:p>
      <w:pPr>
        <w:widowControl/>
        <w:jc w:val="left"/>
        <w:rPr>
          <w:rFonts w:asciiTheme="minorEastAsia" w:hAnsiTheme="minorEastAsia" w:eastAsiaTheme="minorEastAsia"/>
          <w:b/>
          <w:sz w:val="24"/>
        </w:rPr>
      </w:pPr>
      <w:bookmarkStart w:id="65" w:name="_Toc44690436"/>
      <w:bookmarkStart w:id="66" w:name="_Toc44691168"/>
      <w:bookmarkStart w:id="67" w:name="_Toc44690709"/>
      <w:bookmarkStart w:id="68" w:name="_Toc44691400"/>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格式9  售后服务和质量承诺</w:t>
      </w:r>
      <w:bookmarkEnd w:id="65"/>
      <w:bookmarkEnd w:id="66"/>
      <w:bookmarkEnd w:id="67"/>
      <w:bookmarkEnd w:id="68"/>
    </w:p>
    <w:p>
      <w:pPr>
        <w:adjustRightInd w:val="0"/>
        <w:snapToGrid w:val="0"/>
        <w:spacing w:line="360" w:lineRule="auto"/>
        <w:rPr>
          <w:rFonts w:ascii="宋体" w:hAnsi="宋体"/>
        </w:rPr>
      </w:pPr>
    </w:p>
    <w:p>
      <w:pPr>
        <w:adjustRightInd w:val="0"/>
        <w:snapToGrid w:val="0"/>
        <w:spacing w:line="360" w:lineRule="auto"/>
        <w:rPr>
          <w:rFonts w:ascii="宋体" w:hAnsi="宋体"/>
        </w:rPr>
      </w:pPr>
      <w:r>
        <w:rPr>
          <w:rFonts w:hint="eastAsia" w:ascii="宋体" w:hAnsi="宋体"/>
        </w:rPr>
        <w:t>1、</w:t>
      </w:r>
      <w:r>
        <w:rPr>
          <w:rFonts w:hint="eastAsia"/>
        </w:rPr>
        <w:t>质保期和保修期服务承诺</w:t>
      </w:r>
    </w:p>
    <w:p>
      <w:pPr>
        <w:adjustRightInd w:val="0"/>
        <w:snapToGrid w:val="0"/>
        <w:spacing w:line="360" w:lineRule="auto"/>
        <w:rPr>
          <w:rFonts w:ascii="宋体" w:hAnsi="宋体"/>
        </w:rPr>
      </w:pPr>
      <w:r>
        <w:rPr>
          <w:rFonts w:hint="eastAsia" w:ascii="宋体" w:hAnsi="宋体"/>
        </w:rPr>
        <w:t>2、</w:t>
      </w:r>
      <w:r>
        <w:rPr>
          <w:rFonts w:hint="eastAsia"/>
        </w:rPr>
        <w:t>售后服务机构及维护人员配置</w:t>
      </w:r>
    </w:p>
    <w:p>
      <w:pPr>
        <w:adjustRightInd w:val="0"/>
        <w:snapToGrid w:val="0"/>
        <w:spacing w:line="360" w:lineRule="auto"/>
        <w:rPr>
          <w:rFonts w:ascii="宋体" w:hAnsi="宋体"/>
        </w:rPr>
      </w:pPr>
      <w:r>
        <w:rPr>
          <w:rFonts w:hint="eastAsia" w:ascii="宋体" w:hAnsi="宋体"/>
        </w:rPr>
        <w:t>3、</w:t>
      </w:r>
      <w:r>
        <w:rPr>
          <w:rFonts w:hint="eastAsia"/>
        </w:rPr>
        <w:t>售后服务应急措施</w:t>
      </w:r>
    </w:p>
    <w:p>
      <w:pPr>
        <w:adjustRightInd w:val="0"/>
        <w:snapToGrid w:val="0"/>
        <w:spacing w:line="360" w:lineRule="auto"/>
        <w:rPr>
          <w:rFonts w:ascii="宋体" w:hAnsi="宋体"/>
        </w:rPr>
      </w:pPr>
      <w:r>
        <w:rPr>
          <w:rFonts w:hint="eastAsia" w:ascii="宋体" w:hAnsi="宋体"/>
        </w:rPr>
        <w:t>4、</w:t>
      </w:r>
      <w:r>
        <w:rPr>
          <w:rFonts w:hint="eastAsia"/>
        </w:rPr>
        <w:t>故障或技术支持响应时间</w:t>
      </w:r>
    </w:p>
    <w:p>
      <w:pPr>
        <w:adjustRightInd w:val="0"/>
        <w:snapToGrid w:val="0"/>
        <w:spacing w:line="360" w:lineRule="auto"/>
        <w:rPr>
          <w:rFonts w:ascii="宋体" w:hAnsi="宋体"/>
        </w:rPr>
      </w:pPr>
      <w:r>
        <w:rPr>
          <w:rFonts w:hint="eastAsia" w:ascii="宋体" w:hAnsi="宋体"/>
        </w:rPr>
        <w:t>5、技术培训计划</w:t>
      </w:r>
    </w:p>
    <w:p>
      <w:pPr>
        <w:adjustRightInd w:val="0"/>
        <w:snapToGrid w:val="0"/>
        <w:spacing w:line="360" w:lineRule="auto"/>
        <w:rPr>
          <w:rFonts w:ascii="宋体" w:hAnsi="宋体"/>
        </w:rPr>
      </w:pPr>
      <w:r>
        <w:rPr>
          <w:rFonts w:hint="eastAsia" w:ascii="宋体" w:hAnsi="宋体"/>
        </w:rPr>
        <w:t>6、备/配件支持计划</w:t>
      </w:r>
    </w:p>
    <w:p>
      <w:pPr>
        <w:adjustRightInd w:val="0"/>
        <w:snapToGrid w:val="0"/>
        <w:spacing w:line="360" w:lineRule="auto"/>
        <w:rPr>
          <w:rFonts w:ascii="宋体" w:hAnsi="宋体"/>
          <w:bCs/>
        </w:rPr>
      </w:pPr>
      <w:r>
        <w:rPr>
          <w:rFonts w:hint="eastAsia" w:ascii="宋体" w:hAnsi="宋体"/>
        </w:rPr>
        <w:t>7、非</w:t>
      </w:r>
      <w:r>
        <w:rPr>
          <w:rFonts w:hint="eastAsia" w:ascii="宋体" w:hAnsi="宋体"/>
          <w:bCs/>
        </w:rPr>
        <w:t>保修期维修费用收取标准</w:t>
      </w:r>
    </w:p>
    <w:p>
      <w:pPr>
        <w:adjustRightInd w:val="0"/>
        <w:snapToGrid w:val="0"/>
        <w:spacing w:line="300" w:lineRule="auto"/>
        <w:rPr>
          <w:rFonts w:ascii="宋体" w:hAnsi="宋体"/>
          <w:bCs/>
        </w:rPr>
      </w:pPr>
      <w:r>
        <w:rPr>
          <w:rFonts w:hint="eastAsia" w:ascii="宋体" w:hAnsi="宋体"/>
          <w:bCs/>
        </w:rPr>
        <w:t>8、其它</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480"/>
        </w:tabs>
        <w:adjustRightInd w:val="0"/>
        <w:snapToGrid w:val="0"/>
        <w:spacing w:line="300" w:lineRule="auto"/>
        <w:rPr>
          <w:snapToGrid w:val="0"/>
          <w:kern w:val="0"/>
        </w:rPr>
      </w:pPr>
      <w:r>
        <w:rPr>
          <w:snapToGrid w:val="0"/>
          <w:kern w:val="0"/>
        </w:rPr>
        <w:tab/>
      </w: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r>
        <w:rPr>
          <w:snapToGrid w:val="0"/>
          <w:kern w:val="0"/>
        </w:rPr>
        <w:br w:type="page"/>
      </w:r>
    </w:p>
    <w:p>
      <w:pPr>
        <w:tabs>
          <w:tab w:val="left" w:pos="1200"/>
        </w:tabs>
        <w:adjustRightInd w:val="0"/>
        <w:snapToGrid w:val="0"/>
        <w:spacing w:line="300" w:lineRule="auto"/>
        <w:rPr>
          <w:snapToGrid w:val="0"/>
          <w:kern w:val="0"/>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9" w:name="_格式4__"/>
      <w:bookmarkEnd w:id="69"/>
      <w:bookmarkStart w:id="70" w:name="q17"/>
      <w:bookmarkEnd w:id="70"/>
      <w:bookmarkStart w:id="71" w:name="q16"/>
      <w:bookmarkEnd w:id="71"/>
      <w:bookmarkStart w:id="72" w:name="q15"/>
      <w:bookmarkEnd w:id="72"/>
      <w:bookmarkStart w:id="73" w:name="_格式5__"/>
      <w:bookmarkEnd w:id="73"/>
      <w:bookmarkStart w:id="74" w:name="_格式2__投标保证金凭证"/>
      <w:bookmarkEnd w:id="74"/>
      <w:bookmarkStart w:id="75" w:name="_格式3__"/>
      <w:bookmarkEnd w:id="75"/>
      <w:r>
        <w:rPr>
          <w:rFonts w:asciiTheme="minorEastAsia" w:hAnsiTheme="minorEastAsia" w:eastAsiaTheme="minorEastAsia"/>
          <w:sz w:val="24"/>
        </w:rPr>
        <w:tab/>
      </w:r>
      <w:bookmarkStart w:id="76" w:name="_Toc44691401"/>
      <w:bookmarkStart w:id="77" w:name="_Toc44690710"/>
      <w:bookmarkStart w:id="78" w:name="_Toc44691169"/>
      <w:bookmarkStart w:id="79" w:name="_Toc44690437"/>
      <w:r>
        <w:rPr>
          <w:rFonts w:hint="eastAsia" w:asciiTheme="minorEastAsia" w:hAnsiTheme="minorEastAsia" w:eastAsiaTheme="minorEastAsia"/>
          <w:sz w:val="24"/>
        </w:rPr>
        <w:t>格式10  投标人资格声明</w:t>
      </w:r>
      <w:bookmarkEnd w:id="76"/>
      <w:bookmarkEnd w:id="77"/>
      <w:bookmarkEnd w:id="78"/>
      <w:bookmarkEnd w:id="79"/>
    </w:p>
    <w:p>
      <w:pPr>
        <w:snapToGrid w:val="0"/>
        <w:spacing w:line="300" w:lineRule="auto"/>
        <w:rPr>
          <w:rFonts w:ascii="宋体" w:hAnsi="宋体"/>
        </w:rPr>
      </w:pPr>
    </w:p>
    <w:p>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hint="eastAsia" w:ascii="宋体" w:hAnsi="宋体"/>
          <w:bCs/>
          <w:snapToGrid w:val="0"/>
          <w:kern w:val="0"/>
        </w:rPr>
        <w:t>；</w:t>
      </w:r>
    </w:p>
    <w:p>
      <w:pPr>
        <w:adjustRightInd w:val="0"/>
        <w:snapToGrid w:val="0"/>
        <w:spacing w:line="360" w:lineRule="auto"/>
        <w:rPr>
          <w:rFonts w:ascii="宋体" w:hAnsi="宋体"/>
          <w:bCs/>
          <w:snapToGrid w:val="0"/>
          <w:kern w:val="0"/>
        </w:rPr>
      </w:pPr>
      <w:r>
        <w:rPr>
          <w:rFonts w:hint="eastAsia" w:ascii="宋体" w:hAnsi="宋体"/>
          <w:bCs/>
          <w:snapToGrid w:val="0"/>
          <w:kern w:val="0"/>
        </w:rPr>
        <w:t>2、投标人基本情况简介，格式自拟，包括但不限于经营范围、依法纳税记录等；</w:t>
      </w: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3、</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adjustRightInd w:val="0"/>
        <w:snapToGrid w:val="0"/>
        <w:spacing w:line="360" w:lineRule="auto"/>
        <w:rPr>
          <w:bCs/>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widowControl/>
        <w:jc w:val="left"/>
        <w:rPr>
          <w:snapToGrid w:val="0"/>
          <w:kern w:val="0"/>
        </w:rPr>
      </w:pPr>
      <w:r>
        <w:rPr>
          <w:snapToGrid w:val="0"/>
          <w:kern w:val="0"/>
        </w:rPr>
        <w:br w:type="page"/>
      </w:r>
    </w:p>
    <w:p>
      <w:pPr>
        <w:jc w:val="center"/>
        <w:rPr>
          <w:snapToGrid w:val="0"/>
          <w:kern w:val="0"/>
        </w:rPr>
      </w:pPr>
    </w:p>
    <w:p>
      <w:pPr>
        <w:jc w:val="center"/>
        <w:rPr>
          <w:b/>
          <w:bCs/>
          <w:sz w:val="28"/>
        </w:rPr>
      </w:pPr>
      <w:bookmarkStart w:id="80" w:name="_格式7__投标人资格声明"/>
      <w:bookmarkEnd w:id="80"/>
      <w:bookmarkStart w:id="81" w:name="q40"/>
      <w:r>
        <w:rPr>
          <w:rFonts w:hint="eastAsia"/>
          <w:b/>
          <w:bCs/>
          <w:sz w:val="28"/>
        </w:rPr>
        <w:t>投标人资格声明</w:t>
      </w:r>
    </w:p>
    <w:p>
      <w:pPr>
        <w:snapToGrid w:val="0"/>
        <w:spacing w:line="300" w:lineRule="auto"/>
        <w:rPr>
          <w:rFonts w:ascii="宋体" w:hAnsi="宋体"/>
        </w:rPr>
      </w:pPr>
    </w:p>
    <w:p>
      <w:pPr>
        <w:snapToGrid w:val="0"/>
        <w:spacing w:line="300" w:lineRule="auto"/>
        <w:rPr>
          <w:rFonts w:ascii="宋体" w:hAnsi="宋体"/>
        </w:rPr>
      </w:pPr>
      <w:r>
        <w:rPr>
          <w:rFonts w:hint="eastAsia" w:ascii="宋体" w:hAnsi="宋体"/>
        </w:rPr>
        <w:t>1、名称及其它情况：</w:t>
      </w:r>
    </w:p>
    <w:p>
      <w:pPr>
        <w:snapToGrid w:val="0"/>
        <w:spacing w:line="300" w:lineRule="auto"/>
        <w:ind w:left="420"/>
        <w:rPr>
          <w:rFonts w:ascii="宋体" w:hAnsi="宋体"/>
          <w:u w:val="single"/>
        </w:rPr>
      </w:pPr>
      <w:r>
        <w:rPr>
          <w:rFonts w:hint="eastAsia" w:ascii="宋体" w:hAnsi="宋体"/>
        </w:rPr>
        <w:t>⑴、名称：</w:t>
      </w:r>
    </w:p>
    <w:p>
      <w:pPr>
        <w:snapToGrid w:val="0"/>
        <w:spacing w:line="300" w:lineRule="auto"/>
        <w:ind w:left="420"/>
        <w:rPr>
          <w:rFonts w:ascii="宋体" w:hAnsi="宋体"/>
          <w:bCs/>
        </w:rPr>
      </w:pPr>
      <w:r>
        <w:rPr>
          <w:rFonts w:hint="eastAsia" w:ascii="宋体" w:hAnsi="宋体"/>
          <w:bCs/>
        </w:rPr>
        <w:t>⑵、地址：</w:t>
      </w:r>
    </w:p>
    <w:p>
      <w:pPr>
        <w:snapToGrid w:val="0"/>
        <w:spacing w:line="300" w:lineRule="auto"/>
        <w:ind w:left="420"/>
        <w:rPr>
          <w:rFonts w:ascii="宋体" w:hAnsi="宋体"/>
          <w:b/>
          <w:u w:val="single"/>
        </w:rPr>
      </w:pPr>
      <w:r>
        <w:rPr>
          <w:rFonts w:hint="eastAsia" w:ascii="宋体" w:hAnsi="宋体"/>
          <w:bCs/>
        </w:rPr>
        <w:t>⑶、成立和/或注册日期：</w:t>
      </w:r>
    </w:p>
    <w:p>
      <w:pPr>
        <w:snapToGrid w:val="0"/>
        <w:spacing w:line="300" w:lineRule="auto"/>
        <w:ind w:left="420"/>
        <w:rPr>
          <w:rFonts w:ascii="宋体" w:hAnsi="宋体"/>
          <w:b/>
          <w:u w:val="single"/>
        </w:rPr>
      </w:pPr>
      <w:r>
        <w:rPr>
          <w:rFonts w:ascii="宋体" w:hAnsi="宋体"/>
          <w:bCs/>
        </w:rPr>
        <w:fldChar w:fldCharType="begin"/>
      </w:r>
      <w:r>
        <w:rPr>
          <w:rFonts w:hint="eastAsia" w:ascii="宋体" w:hAnsi="宋体"/>
          <w:bCs/>
        </w:rPr>
        <w:instrText xml:space="preserve">= 4 \* GB2</w:instrText>
      </w:r>
      <w:r>
        <w:rPr>
          <w:rFonts w:ascii="宋体" w:hAnsi="宋体"/>
          <w:bCs/>
        </w:rPr>
        <w:fldChar w:fldCharType="separate"/>
      </w:r>
      <w:r>
        <w:rPr>
          <w:rFonts w:hint="eastAsia" w:ascii="宋体" w:hAnsi="宋体"/>
          <w:bCs/>
        </w:rPr>
        <w:t>⑷</w:t>
      </w:r>
      <w:r>
        <w:rPr>
          <w:rFonts w:ascii="宋体" w:hAnsi="宋体"/>
          <w:bCs/>
        </w:rPr>
        <w:fldChar w:fldCharType="end"/>
      </w:r>
      <w:r>
        <w:rPr>
          <w:rFonts w:hint="eastAsia" w:ascii="宋体" w:hAnsi="宋体"/>
          <w:bCs/>
        </w:rPr>
        <w:t>、企业性质：</w:t>
      </w:r>
    </w:p>
    <w:p>
      <w:pPr>
        <w:snapToGrid w:val="0"/>
        <w:spacing w:line="300" w:lineRule="auto"/>
        <w:ind w:left="708" w:hanging="707" w:hangingChars="337"/>
        <w:rPr>
          <w:rFonts w:ascii="宋体" w:hAnsi="宋体"/>
          <w:bCs/>
        </w:rPr>
      </w:pPr>
      <w:r>
        <w:rPr>
          <w:rFonts w:hint="eastAsia" w:ascii="宋体" w:hAnsi="宋体"/>
          <w:bCs/>
        </w:rPr>
        <w:t>2、近三年主要客户的名称和地址：</w:t>
      </w:r>
    </w:p>
    <w:p>
      <w:pPr>
        <w:snapToGrid w:val="0"/>
        <w:spacing w:line="300" w:lineRule="auto"/>
        <w:ind w:left="990"/>
        <w:rPr>
          <w:rFonts w:ascii="宋体" w:hAnsi="宋体"/>
          <w:bCs/>
        </w:rPr>
      </w:pPr>
      <w:r>
        <w:rPr>
          <w:rFonts w:hint="eastAsia" w:ascii="宋体" w:hAnsi="宋体"/>
          <w:bCs/>
        </w:rPr>
        <w:t>名称和地址                          项目名称</w:t>
      </w:r>
    </w:p>
    <w:p>
      <w:pPr>
        <w:snapToGrid w:val="0"/>
        <w:spacing w:line="300" w:lineRule="auto"/>
        <w:rPr>
          <w:rFonts w:ascii="宋体" w:hAnsi="宋体"/>
          <w:bCs/>
          <w:u w:val="single"/>
        </w:rPr>
      </w:pPr>
    </w:p>
    <w:p>
      <w:pPr>
        <w:snapToGrid w:val="0"/>
        <w:spacing w:line="300" w:lineRule="auto"/>
        <w:rPr>
          <w:rFonts w:ascii="宋体" w:hAnsi="宋体"/>
          <w:b/>
          <w:u w:val="single"/>
        </w:rPr>
      </w:pPr>
    </w:p>
    <w:p>
      <w:pPr>
        <w:snapToGrid w:val="0"/>
        <w:spacing w:line="300" w:lineRule="auto"/>
        <w:rPr>
          <w:rFonts w:ascii="宋体" w:hAnsi="宋体"/>
          <w:bCs/>
          <w:u w:val="single"/>
        </w:rPr>
      </w:pPr>
    </w:p>
    <w:p>
      <w:pPr>
        <w:snapToGrid w:val="0"/>
        <w:spacing w:line="300" w:lineRule="auto"/>
        <w:rPr>
          <w:rFonts w:ascii="宋体" w:hAnsi="宋体"/>
          <w:bCs/>
        </w:rPr>
      </w:pPr>
      <w:r>
        <w:rPr>
          <w:rFonts w:hint="eastAsia" w:ascii="宋体" w:hAnsi="宋体"/>
          <w:bCs/>
        </w:rPr>
        <w:t>3、近三年的营业额：</w:t>
      </w:r>
    </w:p>
    <w:p>
      <w:pPr>
        <w:snapToGrid w:val="0"/>
        <w:spacing w:line="300" w:lineRule="auto"/>
        <w:ind w:firstLine="420" w:firstLineChars="200"/>
        <w:rPr>
          <w:rFonts w:ascii="宋体" w:hAnsi="宋体"/>
          <w:bCs/>
        </w:rPr>
      </w:pPr>
      <w:r>
        <w:rPr>
          <w:rFonts w:hint="eastAsia" w:ascii="宋体" w:hAnsi="宋体"/>
          <w:bCs/>
        </w:rPr>
        <w:t>年份                国内                    国外                  总额</w:t>
      </w:r>
    </w:p>
    <w:p>
      <w:pPr>
        <w:snapToGrid w:val="0"/>
        <w:spacing w:line="300" w:lineRule="auto"/>
        <w:rPr>
          <w:rFonts w:ascii="宋体" w:hAnsi="宋体"/>
          <w:bCs/>
        </w:rPr>
      </w:pPr>
    </w:p>
    <w:p>
      <w:pPr>
        <w:snapToGrid w:val="0"/>
        <w:spacing w:line="300" w:lineRule="auto"/>
        <w:rPr>
          <w:rFonts w:ascii="宋体" w:hAnsi="宋体"/>
          <w:b/>
          <w:u w:val="single"/>
        </w:rPr>
      </w:pPr>
    </w:p>
    <w:p>
      <w:pPr>
        <w:snapToGrid w:val="0"/>
        <w:spacing w:line="300" w:lineRule="auto"/>
        <w:rPr>
          <w:rFonts w:ascii="宋体" w:hAnsi="宋体"/>
          <w:bCs/>
        </w:rPr>
      </w:pPr>
    </w:p>
    <w:p>
      <w:pPr>
        <w:snapToGrid w:val="0"/>
        <w:spacing w:line="300" w:lineRule="auto"/>
        <w:rPr>
          <w:rFonts w:ascii="宋体" w:hAnsi="宋体"/>
          <w:bCs/>
        </w:rPr>
      </w:pPr>
      <w:r>
        <w:rPr>
          <w:rFonts w:hint="eastAsia" w:ascii="宋体" w:hAnsi="宋体"/>
          <w:bCs/>
        </w:rPr>
        <w:t>4、有关开户银行的名称和地址：</w:t>
      </w:r>
    </w:p>
    <w:p>
      <w:pPr>
        <w:snapToGrid w:val="0"/>
        <w:spacing w:line="300" w:lineRule="auto"/>
        <w:rPr>
          <w:rFonts w:ascii="宋体" w:hAnsi="宋体"/>
          <w:b/>
          <w:u w:val="single"/>
        </w:rPr>
      </w:pPr>
      <w:r>
        <w:rPr>
          <w:rFonts w:hint="eastAsia" w:ascii="宋体" w:hAnsi="宋体"/>
          <w:bCs/>
        </w:rPr>
        <w:t>5、其他情况：</w:t>
      </w:r>
    </w:p>
    <w:p>
      <w:pPr>
        <w:snapToGrid w:val="0"/>
        <w:spacing w:line="300" w:lineRule="auto"/>
        <w:ind w:left="105" w:leftChars="50" w:firstLine="472" w:firstLineChars="225"/>
        <w:rPr>
          <w:rFonts w:ascii="宋体" w:hAnsi="宋体"/>
          <w:bCs/>
        </w:rPr>
      </w:pPr>
      <w:r>
        <w:rPr>
          <w:rFonts w:hint="eastAsia" w:ascii="宋体" w:hAnsi="宋体"/>
          <w:bCs/>
        </w:rPr>
        <w:t>兹证明上述声明是真实、正确的，并提供了全部能提供的资料和数据，我愿遵照贵方要求出示有关证明文件。</w:t>
      </w:r>
    </w:p>
    <w:p>
      <w:pPr>
        <w:snapToGrid w:val="0"/>
        <w:spacing w:line="300" w:lineRule="auto"/>
        <w:ind w:left="560"/>
        <w:rPr>
          <w:rFonts w:ascii="宋体" w:hAnsi="宋体"/>
          <w:bCs/>
        </w:rPr>
      </w:pPr>
    </w:p>
    <w:p>
      <w:pPr>
        <w:snapToGrid w:val="0"/>
        <w:spacing w:line="300" w:lineRule="auto"/>
        <w:ind w:left="560"/>
        <w:rPr>
          <w:rFonts w:ascii="宋体" w:hAnsi="宋体"/>
          <w:bCs/>
          <w:u w:val="single"/>
        </w:rPr>
      </w:pPr>
      <w:r>
        <w:rPr>
          <w:rFonts w:hint="eastAsia" w:ascii="宋体" w:hAnsi="宋体"/>
        </w:rPr>
        <w:t>投标单位</w:t>
      </w:r>
      <w:r>
        <w:rPr>
          <w:rFonts w:hint="eastAsia" w:ascii="宋体" w:hAnsi="宋体"/>
          <w:bCs/>
        </w:rPr>
        <w:t>名称（加盖公章）：</w:t>
      </w:r>
    </w:p>
    <w:p>
      <w:pPr>
        <w:snapToGrid w:val="0"/>
        <w:spacing w:line="300" w:lineRule="auto"/>
        <w:ind w:left="560"/>
        <w:rPr>
          <w:rFonts w:ascii="宋体" w:hAnsi="宋体"/>
          <w:bCs/>
          <w:u w:val="single"/>
        </w:rPr>
      </w:pPr>
      <w:r>
        <w:rPr>
          <w:rFonts w:hint="eastAsia" w:ascii="宋体" w:hAnsi="宋体"/>
          <w:bCs/>
        </w:rPr>
        <w:t>授权代表或法定代表人签字：</w:t>
      </w:r>
    </w:p>
    <w:p>
      <w:pPr>
        <w:snapToGrid w:val="0"/>
        <w:spacing w:line="300" w:lineRule="auto"/>
        <w:ind w:left="560"/>
        <w:rPr>
          <w:rFonts w:ascii="宋体" w:hAnsi="宋体"/>
          <w:bCs/>
          <w:u w:val="single"/>
        </w:rPr>
      </w:pPr>
      <w:r>
        <w:rPr>
          <w:rFonts w:hint="eastAsia" w:ascii="宋体" w:hAnsi="宋体"/>
          <w:bCs/>
        </w:rPr>
        <w:t>授权代表的职务：</w:t>
      </w:r>
    </w:p>
    <w:p>
      <w:pPr>
        <w:snapToGrid w:val="0"/>
        <w:spacing w:line="300" w:lineRule="auto"/>
        <w:ind w:left="560"/>
        <w:rPr>
          <w:rFonts w:ascii="宋体" w:hAnsi="宋体"/>
          <w:bCs/>
          <w:u w:val="single"/>
        </w:rPr>
      </w:pPr>
      <w:r>
        <w:rPr>
          <w:rFonts w:hint="eastAsia" w:ascii="宋体" w:hAnsi="宋体"/>
          <w:bCs/>
        </w:rPr>
        <w:t>电话：</w:t>
      </w:r>
    </w:p>
    <w:p>
      <w:pPr>
        <w:snapToGrid w:val="0"/>
        <w:spacing w:line="300" w:lineRule="auto"/>
        <w:ind w:left="560"/>
        <w:rPr>
          <w:rFonts w:ascii="宋体" w:hAnsi="宋体"/>
          <w:bCs/>
          <w:u w:val="single"/>
        </w:rPr>
      </w:pPr>
      <w:r>
        <w:rPr>
          <w:rFonts w:hint="eastAsia" w:ascii="宋体" w:hAnsi="宋体"/>
          <w:bCs/>
        </w:rPr>
        <w:t>传真：</w:t>
      </w:r>
    </w:p>
    <w:p>
      <w:pPr>
        <w:snapToGrid w:val="0"/>
        <w:spacing w:line="300" w:lineRule="auto"/>
        <w:ind w:left="560"/>
        <w:rPr>
          <w:rFonts w:ascii="宋体" w:hAnsi="宋体"/>
          <w:bCs/>
        </w:rPr>
      </w:pPr>
      <w:r>
        <w:rPr>
          <w:rFonts w:hint="eastAsia" w:ascii="宋体" w:hAnsi="宋体"/>
          <w:bCs/>
        </w:rPr>
        <w:t>日期：</w:t>
      </w:r>
      <w:r>
        <w:rPr>
          <w:rFonts w:hint="eastAsia"/>
          <w:snapToGrid w:val="0"/>
          <w:kern w:val="0"/>
          <w:u w:val="single"/>
        </w:rPr>
        <w:t>　　　　　　　　　　　　　　　</w:t>
      </w: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widowControl/>
        <w:jc w:val="left"/>
        <w:rPr>
          <w:b/>
          <w:szCs w:val="21"/>
        </w:rPr>
      </w:pPr>
      <w:r>
        <w:rPr>
          <w:b/>
          <w:szCs w:val="21"/>
        </w:rPr>
        <w:br w:type="page"/>
      </w:r>
    </w:p>
    <w:p>
      <w:pPr>
        <w:spacing w:line="360" w:lineRule="auto"/>
        <w:jc w:val="center"/>
        <w:rPr>
          <w:b/>
          <w:szCs w:val="21"/>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格式11  偏离表</w:t>
      </w:r>
    </w:p>
    <w:bookmarkEnd w:id="81"/>
    <w:p>
      <w:pPr>
        <w:spacing w:line="360" w:lineRule="auto"/>
        <w:jc w:val="center"/>
      </w:pPr>
    </w:p>
    <w:p>
      <w:pPr>
        <w:snapToGrid w:val="0"/>
        <w:spacing w:line="360" w:lineRule="auto"/>
        <w:jc w:val="center"/>
        <w:rPr>
          <w:b/>
        </w:rPr>
      </w:pPr>
      <w:r>
        <w:rPr>
          <w:rFonts w:hint="eastAsia"/>
          <w:b/>
        </w:rPr>
        <w:t>技术规格偏离表</w:t>
      </w:r>
    </w:p>
    <w:tbl>
      <w:tblPr>
        <w:tblStyle w:val="50"/>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2482"/>
        <w:gridCol w:w="1701"/>
        <w:gridCol w:w="127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r>
              <w:rPr>
                <w:rFonts w:hint="eastAsia" w:ascii="宋体" w:hAnsi="宋体"/>
                <w:szCs w:val="21"/>
              </w:rPr>
              <w:t>序号</w:t>
            </w:r>
          </w:p>
        </w:tc>
        <w:tc>
          <w:tcPr>
            <w:tcW w:w="1418" w:type="dxa"/>
            <w:vAlign w:val="center"/>
          </w:tcPr>
          <w:p>
            <w:pPr>
              <w:spacing w:line="360" w:lineRule="auto"/>
              <w:jc w:val="center"/>
              <w:rPr>
                <w:rFonts w:ascii="宋体" w:hAnsi="宋体"/>
                <w:szCs w:val="21"/>
              </w:rPr>
            </w:pPr>
            <w:r>
              <w:rPr>
                <w:rFonts w:hint="eastAsia" w:ascii="宋体" w:hAnsi="宋体"/>
                <w:szCs w:val="21"/>
              </w:rPr>
              <w:t>货物名称</w:t>
            </w:r>
          </w:p>
        </w:tc>
        <w:tc>
          <w:tcPr>
            <w:tcW w:w="2482" w:type="dxa"/>
            <w:vAlign w:val="center"/>
          </w:tcPr>
          <w:p>
            <w:pPr>
              <w:spacing w:line="360" w:lineRule="auto"/>
              <w:jc w:val="center"/>
              <w:rPr>
                <w:rFonts w:ascii="宋体" w:hAnsi="宋体"/>
                <w:szCs w:val="21"/>
              </w:rPr>
            </w:pPr>
            <w:r>
              <w:rPr>
                <w:rFonts w:hint="eastAsia" w:ascii="宋体" w:hAnsi="宋体"/>
                <w:szCs w:val="21"/>
              </w:rPr>
              <w:t>招标技术要求</w:t>
            </w:r>
          </w:p>
        </w:tc>
        <w:tc>
          <w:tcPr>
            <w:tcW w:w="1701" w:type="dxa"/>
            <w:vAlign w:val="center"/>
          </w:tcPr>
          <w:p>
            <w:pPr>
              <w:spacing w:line="360" w:lineRule="auto"/>
              <w:jc w:val="center"/>
              <w:rPr>
                <w:rFonts w:ascii="宋体" w:hAnsi="宋体"/>
                <w:szCs w:val="21"/>
              </w:rPr>
            </w:pPr>
            <w:r>
              <w:rPr>
                <w:rFonts w:hint="eastAsia" w:ascii="宋体" w:hAnsi="宋体"/>
                <w:szCs w:val="21"/>
              </w:rPr>
              <w:t>投标技术响应</w:t>
            </w:r>
          </w:p>
        </w:tc>
        <w:tc>
          <w:tcPr>
            <w:tcW w:w="1275" w:type="dxa"/>
            <w:vAlign w:val="center"/>
          </w:tcPr>
          <w:p>
            <w:pPr>
              <w:spacing w:line="360" w:lineRule="auto"/>
              <w:jc w:val="center"/>
              <w:rPr>
                <w:rFonts w:ascii="宋体" w:hAnsi="宋体"/>
                <w:szCs w:val="21"/>
              </w:rPr>
            </w:pPr>
            <w:r>
              <w:rPr>
                <w:rFonts w:hint="eastAsia" w:ascii="宋体" w:hAnsi="宋体"/>
                <w:szCs w:val="21"/>
              </w:rPr>
              <w:t>偏离情况</w:t>
            </w:r>
          </w:p>
        </w:tc>
        <w:tc>
          <w:tcPr>
            <w:tcW w:w="2304"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jc w:val="center"/>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w:t>
      </w:r>
      <w:r>
        <w:rPr>
          <w:rFonts w:hint="eastAsia" w:ascii="宋体" w:hAnsi="宋体"/>
          <w:szCs w:val="21"/>
        </w:rPr>
        <w:t>招标技术要求</w:t>
      </w:r>
      <w:r>
        <w:rPr>
          <w:rFonts w:hint="eastAsia" w:ascii="宋体" w:hAnsi="宋体" w:cs="Arial"/>
          <w:bCs/>
          <w:szCs w:val="21"/>
        </w:rPr>
        <w:t>”一栏逐一列出招标文件第二章《项目需求》中“</w:t>
      </w:r>
      <w:r>
        <w:rPr>
          <w:rFonts w:hint="eastAsia" w:ascii="宋体" w:hAnsi="宋体" w:cs="Arial"/>
          <w:b/>
          <w:bCs/>
          <w:szCs w:val="21"/>
        </w:rPr>
        <w:t>二、</w:t>
      </w:r>
      <w:r>
        <w:rPr>
          <w:rFonts w:hint="eastAsia" w:ascii="宋体" w:hAnsi="宋体"/>
          <w:b/>
          <w:bCs/>
          <w:snapToGrid w:val="0"/>
          <w:szCs w:val="21"/>
        </w:rPr>
        <w:t>技术要求</w:t>
      </w:r>
      <w:r>
        <w:rPr>
          <w:rFonts w:hint="eastAsia" w:ascii="宋体" w:hAnsi="宋体" w:cs="Arial"/>
          <w:bCs/>
          <w:szCs w:val="21"/>
        </w:rPr>
        <w:t>”的内容；“</w:t>
      </w:r>
      <w:r>
        <w:rPr>
          <w:rFonts w:hint="eastAsia" w:ascii="宋体" w:hAnsi="宋体"/>
          <w:szCs w:val="21"/>
        </w:rPr>
        <w:t>投标技术响应</w:t>
      </w:r>
      <w:r>
        <w:rPr>
          <w:rFonts w:hint="eastAsia" w:ascii="宋体" w:hAnsi="宋体" w:cs="Arial"/>
          <w:bCs/>
          <w:szCs w:val="21"/>
        </w:rPr>
        <w:t>”一栏应详细填写投标产品的具体参数响应情况。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4" w:firstLineChars="202"/>
        <w:rPr>
          <w:rFonts w:asciiTheme="minorEastAsia" w:hAnsiTheme="minorEastAsia" w:eastAsiaTheme="minorEastAsia"/>
          <w:szCs w:val="21"/>
        </w:rPr>
      </w:pPr>
      <w:r>
        <w:rPr>
          <w:rFonts w:hint="eastAsia" w:ascii="宋体" w:hAnsi="宋体" w:cs="Arial"/>
          <w:bCs/>
          <w:szCs w:val="21"/>
        </w:rPr>
        <w:t>3、</w:t>
      </w:r>
      <w:r>
        <w:rPr>
          <w:rFonts w:hint="eastAsia" w:asciiTheme="minorEastAsia" w:hAnsiTheme="minorEastAsia" w:eastAsiaTheme="minorEastAsia"/>
          <w:b/>
          <w:szCs w:val="21"/>
        </w:rPr>
        <w:t>投标产品的技术参数应按</w:t>
      </w:r>
      <w:r>
        <w:rPr>
          <w:rFonts w:hint="eastAsia" w:ascii="宋体" w:hAnsi="宋体" w:cs="Arial"/>
          <w:b/>
          <w:bCs/>
          <w:szCs w:val="21"/>
        </w:rPr>
        <w:t>招标文件第二章《项目需求》中“二、</w:t>
      </w:r>
      <w:r>
        <w:rPr>
          <w:rFonts w:hint="eastAsia" w:ascii="宋体" w:hAnsi="宋体"/>
          <w:b/>
          <w:bCs/>
          <w:snapToGrid w:val="0"/>
          <w:szCs w:val="21"/>
        </w:rPr>
        <w:t>技术要求</w:t>
      </w:r>
      <w:r>
        <w:rPr>
          <w:rFonts w:hint="eastAsia" w:ascii="宋体" w:hAnsi="宋体" w:cs="Arial"/>
          <w:b/>
          <w:bCs/>
          <w:szCs w:val="21"/>
        </w:rPr>
        <w:t>”</w:t>
      </w:r>
      <w:r>
        <w:rPr>
          <w:rFonts w:hint="eastAsia" w:asciiTheme="minorEastAsia" w:hAnsiTheme="minorEastAsia" w:eastAsiaTheme="minorEastAsia"/>
          <w:b/>
          <w:szCs w:val="21"/>
        </w:rPr>
        <w:t>中的要求提供相应的证明资料，以证明投标人响应的真实性。</w:t>
      </w:r>
      <w:r>
        <w:rPr>
          <w:rFonts w:hint="eastAsia" w:asciiTheme="minorEastAsia" w:hAnsiTheme="minorEastAsia" w:eastAsiaTheme="minor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4、证明资料（均为复印件或扫描件）的提供要求：</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pPr>
        <w:spacing w:line="400" w:lineRule="exact"/>
        <w:ind w:firstLine="424" w:firstLineChars="202"/>
        <w:rPr>
          <w:rFonts w:ascii="宋体" w:hAnsi="宋体" w:cs="Arial"/>
          <w:b/>
          <w:bCs/>
          <w:szCs w:val="21"/>
        </w:rPr>
      </w:pPr>
      <w:r>
        <w:rPr>
          <w:rFonts w:hint="eastAsia" w:asciiTheme="minorEastAsia" w:hAnsiTheme="minorEastAsia" w:eastAsiaTheme="minorEastAsia"/>
          <w:szCs w:val="21"/>
        </w:rPr>
        <w:t>（2）我国政府机构出具的产品检验和核准证件应为证件正面、背面和附件标注的全部具体内容</w:t>
      </w:r>
      <w:r>
        <w:rPr>
          <w:rFonts w:hint="eastAsia" w:ascii="宋体" w:hAnsi="宋体" w:cs="Arial"/>
          <w:bCs/>
          <w:szCs w:val="21"/>
        </w:rPr>
        <w:t>。</w:t>
      </w:r>
    </w:p>
    <w:p>
      <w:pPr>
        <w:adjustRightInd w:val="0"/>
        <w:snapToGrid w:val="0"/>
        <w:spacing w:line="360" w:lineRule="auto"/>
        <w:rPr>
          <w:bCs/>
          <w:snapToGrid w:val="0"/>
        </w:rPr>
      </w:pPr>
    </w:p>
    <w:p>
      <w:pPr>
        <w:snapToGrid w:val="0"/>
        <w:spacing w:line="360" w:lineRule="auto"/>
        <w:jc w:val="center"/>
        <w:rPr>
          <w:b/>
        </w:rPr>
      </w:pPr>
      <w:r>
        <w:rPr>
          <w:rFonts w:hint="eastAsia"/>
          <w:b/>
        </w:rPr>
        <w:t>商务条款偏离表</w:t>
      </w:r>
    </w:p>
    <w:tbl>
      <w:tblPr>
        <w:tblStyle w:val="50"/>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77"/>
        <w:gridCol w:w="2735"/>
        <w:gridCol w:w="180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序号</w:t>
            </w:r>
          </w:p>
        </w:tc>
        <w:tc>
          <w:tcPr>
            <w:tcW w:w="3077" w:type="dxa"/>
            <w:vAlign w:val="center"/>
          </w:tcPr>
          <w:p>
            <w:pPr>
              <w:spacing w:line="360" w:lineRule="auto"/>
              <w:jc w:val="center"/>
              <w:rPr>
                <w:rFonts w:ascii="宋体" w:hAnsi="宋体"/>
                <w:szCs w:val="21"/>
              </w:rPr>
            </w:pPr>
            <w:r>
              <w:rPr>
                <w:rFonts w:hint="eastAsia" w:ascii="宋体" w:hAnsi="宋体"/>
                <w:szCs w:val="21"/>
              </w:rPr>
              <w:t>招标商务需求</w:t>
            </w:r>
          </w:p>
        </w:tc>
        <w:tc>
          <w:tcPr>
            <w:tcW w:w="2735" w:type="dxa"/>
            <w:vAlign w:val="center"/>
          </w:tcPr>
          <w:p>
            <w:pPr>
              <w:spacing w:line="360" w:lineRule="auto"/>
              <w:jc w:val="center"/>
              <w:rPr>
                <w:rFonts w:ascii="宋体" w:hAnsi="宋体"/>
                <w:szCs w:val="21"/>
              </w:rPr>
            </w:pPr>
            <w:r>
              <w:rPr>
                <w:rFonts w:hint="eastAsia" w:ascii="宋体" w:hAnsi="宋体"/>
                <w:szCs w:val="21"/>
              </w:rPr>
              <w:t>投标商务响应</w:t>
            </w:r>
          </w:p>
        </w:tc>
        <w:tc>
          <w:tcPr>
            <w:tcW w:w="1801" w:type="dxa"/>
            <w:vAlign w:val="center"/>
          </w:tcPr>
          <w:p>
            <w:pPr>
              <w:spacing w:line="360" w:lineRule="auto"/>
              <w:jc w:val="center"/>
              <w:rPr>
                <w:rFonts w:ascii="宋体" w:hAnsi="宋体"/>
                <w:szCs w:val="21"/>
              </w:rPr>
            </w:pPr>
            <w:r>
              <w:rPr>
                <w:rFonts w:hint="eastAsia" w:ascii="宋体" w:hAnsi="宋体"/>
                <w:szCs w:val="21"/>
              </w:rPr>
              <w:t>偏离情况</w:t>
            </w:r>
          </w:p>
        </w:tc>
        <w:tc>
          <w:tcPr>
            <w:tcW w:w="1515"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rPr>
                <w:rFonts w:ascii="宋体" w:hAnsi="宋体" w:cs="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招标商务需求</w:t>
      </w:r>
      <w:r>
        <w:rPr>
          <w:rFonts w:hint="eastAsia" w:ascii="宋体" w:hAnsi="宋体" w:cs="Arial"/>
          <w:bCs/>
          <w:szCs w:val="21"/>
        </w:rPr>
        <w:t>”一栏逐一列出招标文件第二章《项目需求》中“</w:t>
      </w:r>
      <w:r>
        <w:rPr>
          <w:rFonts w:hint="eastAsia" w:ascii="宋体" w:hAnsi="宋体" w:cs="Arial"/>
          <w:b/>
          <w:bCs/>
          <w:szCs w:val="21"/>
        </w:rPr>
        <w:t>三、商务要求</w:t>
      </w:r>
      <w:r>
        <w:rPr>
          <w:rFonts w:hint="eastAsia" w:ascii="宋体" w:hAnsi="宋体" w:cs="Arial"/>
          <w:bCs/>
          <w:szCs w:val="21"/>
        </w:rPr>
        <w:t>”的内容；“</w:t>
      </w:r>
      <w:r>
        <w:rPr>
          <w:rFonts w:hint="eastAsia" w:ascii="宋体" w:hAnsi="宋体"/>
          <w:szCs w:val="21"/>
        </w:rPr>
        <w:t>投标商务响应</w:t>
      </w:r>
      <w:r>
        <w:rPr>
          <w:rFonts w:hint="eastAsia" w:ascii="宋体" w:hAnsi="宋体" w:cs="Arial"/>
          <w:bCs/>
          <w:szCs w:val="21"/>
        </w:rPr>
        <w:t>”一栏应详细填写投标商务条款的响应内容。</w:t>
      </w:r>
    </w:p>
    <w:p>
      <w:pPr>
        <w:spacing w:line="400" w:lineRule="exact"/>
        <w:ind w:firstLine="420" w:firstLineChars="200"/>
      </w:pPr>
      <w:r>
        <w:rPr>
          <w:rFonts w:hint="eastAsia" w:ascii="宋体" w:hAnsi="宋体" w:cs="Arial"/>
          <w:bCs/>
          <w:szCs w:val="21"/>
        </w:rPr>
        <w:t>2、“偏离情况”栏中应如实填写“正偏离”、“负偏离”或“无偏离”</w:t>
      </w:r>
      <w:r>
        <w:rPr>
          <w:rFonts w:hint="eastAsia"/>
        </w:rPr>
        <w:t>。</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0" w:firstLineChars="200"/>
      </w:pPr>
      <w:r>
        <w:rPr>
          <w:rFonts w:hint="eastAsia" w:asciiTheme="minorEastAsia" w:hAnsiTheme="minorEastAsia" w:eastAsiaTheme="minor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0" w:firstLineChars="200"/>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rPr>
          <w:snapToGrid w:val="0"/>
          <w:kern w:val="0"/>
        </w:rPr>
      </w:pPr>
    </w:p>
    <w:p>
      <w:pPr>
        <w:adjustRightInd w:val="0"/>
        <w:snapToGrid w:val="0"/>
        <w:spacing w:line="300" w:lineRule="auto"/>
        <w:ind w:right="420"/>
        <w:jc w:val="center"/>
      </w:pPr>
      <w:r>
        <w:rPr>
          <w:rFonts w:hint="eastAsia"/>
          <w:snapToGrid w:val="0"/>
          <w:kern w:val="0"/>
        </w:rPr>
        <w:t xml:space="preserve">                                                            年    月    日</w:t>
      </w:r>
      <w:r>
        <w:br w:type="page"/>
      </w:r>
    </w:p>
    <w:p>
      <w:pPr>
        <w:adjustRightInd w:val="0"/>
        <w:snapToGrid w:val="0"/>
        <w:spacing w:line="300" w:lineRule="auto"/>
        <w:ind w:right="420"/>
        <w:jc w:val="cente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格式12  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2"/>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tabs>
          <w:tab w:val="left" w:pos="1875"/>
        </w:tabs>
      </w:pPr>
    </w:p>
    <w:p>
      <w:pPr>
        <w:pStyle w:val="2"/>
        <w:spacing w:before="0" w:after="0"/>
      </w:pPr>
      <w:bookmarkStart w:id="82" w:name="_Toc73610160"/>
      <w:r>
        <w:rPr>
          <w:rFonts w:hint="eastAsia"/>
        </w:rPr>
        <w:t>第八章  合同条款</w:t>
      </w:r>
      <w:bookmarkEnd w:id="82"/>
    </w:p>
    <w:p>
      <w:pPr>
        <w:jc w:val="center"/>
        <w:rPr>
          <w:b/>
          <w:szCs w:val="21"/>
        </w:rPr>
      </w:pPr>
    </w:p>
    <w:p>
      <w:pPr>
        <w:spacing w:line="420" w:lineRule="exact"/>
        <w:jc w:val="center"/>
        <w:rPr>
          <w:sz w:val="24"/>
          <w:highlight w:val="yellow"/>
        </w:rPr>
      </w:pPr>
      <w:r>
        <w:rPr>
          <w:rFonts w:hint="eastAsia" w:ascii="宋体" w:hAnsi="宋体"/>
          <w:b/>
          <w:sz w:val="36"/>
          <w:szCs w:val="36"/>
        </w:rPr>
        <w:t>设备采购合同（政府）</w:t>
      </w:r>
    </w:p>
    <w:p>
      <w:pPr>
        <w:pStyle w:val="83"/>
        <w:ind w:firstLine="420" w:firstLineChars="200"/>
        <w:rPr>
          <w:rFonts w:ascii="宋体" w:hAnsi="宋体"/>
          <w:color w:val="000000"/>
          <w:sz w:val="21"/>
          <w:szCs w:val="21"/>
        </w:rPr>
      </w:pPr>
      <w:r>
        <w:rPr>
          <w:rFonts w:hint="eastAsia" w:ascii="宋体" w:hAnsi="宋体"/>
          <w:color w:val="000000"/>
          <w:sz w:val="21"/>
          <w:szCs w:val="21"/>
        </w:rPr>
        <w:t>甲方</w:t>
      </w:r>
      <w:r>
        <w:rPr>
          <w:rFonts w:ascii="宋体" w:hAnsi="宋体"/>
          <w:color w:val="000000"/>
          <w:sz w:val="21"/>
          <w:szCs w:val="21"/>
        </w:rPr>
        <w:t>(</w:t>
      </w:r>
      <w:r>
        <w:rPr>
          <w:rFonts w:hint="eastAsia" w:ascii="宋体" w:hAnsi="宋体"/>
          <w:color w:val="000000"/>
          <w:sz w:val="21"/>
          <w:szCs w:val="21"/>
        </w:rPr>
        <w:t>需方</w:t>
      </w:r>
      <w:r>
        <w:rPr>
          <w:rFonts w:ascii="宋体" w:hAnsi="宋体"/>
          <w:color w:val="000000"/>
          <w:sz w:val="21"/>
          <w:szCs w:val="21"/>
        </w:rPr>
        <w:t>)</w:t>
      </w:r>
      <w:r>
        <w:rPr>
          <w:rFonts w:hint="eastAsia" w:ascii="宋体" w:hAnsi="宋体"/>
          <w:color w:val="000000"/>
          <w:sz w:val="21"/>
          <w:szCs w:val="21"/>
        </w:rPr>
        <w:t>：中山大学附属第八医院（深圳福田）</w:t>
      </w:r>
    </w:p>
    <w:p>
      <w:pPr>
        <w:pStyle w:val="26"/>
        <w:spacing w:line="360" w:lineRule="auto"/>
        <w:ind w:firstLine="480"/>
        <w:rPr>
          <w:rFonts w:hAnsi="宋体"/>
          <w:color w:val="000000"/>
          <w:szCs w:val="21"/>
        </w:rPr>
      </w:pPr>
      <w:r>
        <w:rPr>
          <w:rFonts w:hint="eastAsia" w:hAnsi="宋体"/>
          <w:color w:val="000000"/>
          <w:szCs w:val="21"/>
        </w:rPr>
        <w:t>法定代表人</w:t>
      </w:r>
      <w:r>
        <w:rPr>
          <w:rFonts w:hAnsi="宋体"/>
          <w:color w:val="000000"/>
          <w:szCs w:val="21"/>
        </w:rPr>
        <w:t>:</w:t>
      </w:r>
      <w:r>
        <w:rPr>
          <w:rFonts w:hint="eastAsia" w:hAnsi="宋体"/>
          <w:color w:val="000000"/>
          <w:szCs w:val="21"/>
        </w:rPr>
        <w:t>沈慧勇</w:t>
      </w:r>
    </w:p>
    <w:p>
      <w:pPr>
        <w:pStyle w:val="83"/>
        <w:ind w:firstLine="420" w:firstLineChars="200"/>
        <w:rPr>
          <w:rFonts w:ascii="宋体" w:hAnsi="宋体"/>
          <w:color w:val="000000"/>
          <w:sz w:val="21"/>
          <w:szCs w:val="21"/>
        </w:rPr>
      </w:pPr>
      <w:r>
        <w:rPr>
          <w:rFonts w:hint="eastAsia" w:ascii="宋体" w:hAnsi="宋体"/>
          <w:color w:val="000000"/>
          <w:sz w:val="21"/>
          <w:szCs w:val="21"/>
        </w:rPr>
        <w:t>地址：深圳市福田区福田街道深南中路</w:t>
      </w:r>
      <w:r>
        <w:rPr>
          <w:rFonts w:ascii="宋体" w:hAnsi="宋体"/>
          <w:color w:val="000000"/>
          <w:sz w:val="21"/>
          <w:szCs w:val="21"/>
        </w:rPr>
        <w:t>3025</w:t>
      </w:r>
      <w:r>
        <w:rPr>
          <w:rFonts w:hint="eastAsia" w:ascii="宋体" w:hAnsi="宋体"/>
          <w:color w:val="000000"/>
          <w:sz w:val="21"/>
          <w:szCs w:val="21"/>
        </w:rPr>
        <w:t>号</w:t>
      </w:r>
    </w:p>
    <w:p>
      <w:pPr>
        <w:pStyle w:val="83"/>
        <w:ind w:firstLine="420" w:firstLineChars="200"/>
        <w:rPr>
          <w:rFonts w:ascii="宋体" w:hAnsi="宋体"/>
          <w:color w:val="000000"/>
          <w:sz w:val="21"/>
          <w:szCs w:val="21"/>
        </w:rPr>
      </w:pPr>
      <w:r>
        <w:rPr>
          <w:rFonts w:hint="eastAsia" w:ascii="宋体" w:hAnsi="宋体"/>
          <w:color w:val="000000"/>
          <w:sz w:val="21"/>
          <w:szCs w:val="21"/>
        </w:rPr>
        <w:t>统一社会信用代码：</w:t>
      </w:r>
      <w:r>
        <w:rPr>
          <w:rFonts w:ascii="宋体" w:hAnsi="宋体"/>
          <w:color w:val="000000"/>
          <w:sz w:val="21"/>
          <w:szCs w:val="21"/>
        </w:rPr>
        <w:t>124403044557440305</w:t>
      </w:r>
    </w:p>
    <w:p>
      <w:pPr>
        <w:pStyle w:val="83"/>
        <w:spacing w:beforeLines="50"/>
        <w:ind w:firstLine="420" w:firstLineChars="200"/>
        <w:rPr>
          <w:rFonts w:ascii="宋体" w:hAnsi="宋体"/>
          <w:color w:val="000000"/>
          <w:sz w:val="21"/>
          <w:szCs w:val="21"/>
        </w:rPr>
      </w:pPr>
      <w:r>
        <w:rPr>
          <w:rFonts w:hint="eastAsia" w:ascii="宋体" w:hAnsi="宋体"/>
          <w:color w:val="000000"/>
          <w:sz w:val="21"/>
          <w:szCs w:val="21"/>
        </w:rPr>
        <w:t>乙方</w:t>
      </w:r>
      <w:r>
        <w:rPr>
          <w:rFonts w:ascii="宋体" w:hAnsi="宋体"/>
          <w:color w:val="000000"/>
          <w:sz w:val="21"/>
          <w:szCs w:val="21"/>
        </w:rPr>
        <w:t>(</w:t>
      </w:r>
      <w:r>
        <w:rPr>
          <w:rFonts w:hint="eastAsia" w:ascii="宋体" w:hAnsi="宋体"/>
          <w:color w:val="000000"/>
          <w:sz w:val="21"/>
          <w:szCs w:val="21"/>
        </w:rPr>
        <w:t>供方</w:t>
      </w:r>
      <w:r>
        <w:rPr>
          <w:rFonts w:ascii="宋体" w:hAnsi="宋体"/>
          <w:color w:val="000000"/>
          <w:sz w:val="21"/>
          <w:szCs w:val="21"/>
        </w:rPr>
        <w:t>)</w:t>
      </w:r>
      <w:r>
        <w:rPr>
          <w:rFonts w:hint="eastAsia" w:ascii="宋体" w:hAnsi="宋体"/>
          <w:color w:val="000000"/>
          <w:sz w:val="21"/>
          <w:szCs w:val="21"/>
        </w:rPr>
        <w:t>：</w:t>
      </w:r>
    </w:p>
    <w:p>
      <w:pPr>
        <w:pStyle w:val="26"/>
        <w:spacing w:line="360" w:lineRule="auto"/>
        <w:ind w:firstLine="480"/>
        <w:rPr>
          <w:rFonts w:hAnsi="宋体"/>
          <w:color w:val="000000"/>
          <w:szCs w:val="21"/>
        </w:rPr>
      </w:pPr>
      <w:r>
        <w:rPr>
          <w:rFonts w:hint="eastAsia" w:hAnsi="宋体"/>
          <w:color w:val="000000"/>
          <w:szCs w:val="21"/>
        </w:rPr>
        <w:t>法定代表人</w:t>
      </w:r>
      <w:r>
        <w:rPr>
          <w:rFonts w:hAnsi="宋体"/>
          <w:color w:val="000000"/>
          <w:szCs w:val="21"/>
        </w:rPr>
        <w:t>:</w:t>
      </w:r>
    </w:p>
    <w:p>
      <w:pPr>
        <w:pStyle w:val="83"/>
        <w:ind w:firstLine="420" w:firstLineChars="200"/>
        <w:rPr>
          <w:rFonts w:ascii="宋体" w:hAnsi="宋体"/>
          <w:color w:val="000000"/>
          <w:sz w:val="21"/>
          <w:szCs w:val="21"/>
        </w:rPr>
      </w:pPr>
      <w:r>
        <w:rPr>
          <w:rFonts w:hint="eastAsia" w:ascii="宋体" w:hAnsi="宋体"/>
          <w:color w:val="000000"/>
          <w:sz w:val="21"/>
          <w:szCs w:val="21"/>
        </w:rPr>
        <w:t>地址：</w:t>
      </w:r>
    </w:p>
    <w:p>
      <w:pPr>
        <w:pStyle w:val="83"/>
        <w:ind w:firstLine="420" w:firstLineChars="200"/>
        <w:rPr>
          <w:rFonts w:ascii="宋体" w:hAnsi="宋体"/>
          <w:color w:val="000000"/>
        </w:rPr>
      </w:pPr>
      <w:r>
        <w:rPr>
          <w:rFonts w:hint="eastAsia" w:ascii="宋体" w:hAnsi="宋体"/>
          <w:color w:val="000000"/>
          <w:sz w:val="21"/>
          <w:szCs w:val="21"/>
        </w:rPr>
        <w:t>统一社会信用代码：</w:t>
      </w:r>
    </w:p>
    <w:p>
      <w:pPr>
        <w:pStyle w:val="26"/>
        <w:rPr>
          <w:rFonts w:hAnsi="宋体"/>
          <w:color w:val="000000"/>
        </w:rPr>
      </w:pPr>
    </w:p>
    <w:p>
      <w:pPr>
        <w:pStyle w:val="26"/>
        <w:rPr>
          <w:rFonts w:hAnsi="宋体"/>
          <w:color w:val="000000"/>
        </w:rPr>
      </w:pPr>
    </w:p>
    <w:p>
      <w:pPr>
        <w:spacing w:line="360" w:lineRule="auto"/>
        <w:ind w:firstLine="420" w:firstLineChars="200"/>
        <w:rPr>
          <w:rFonts w:ascii="宋体" w:hAnsi="宋体"/>
          <w:szCs w:val="21"/>
        </w:rPr>
      </w:pPr>
      <w:r>
        <w:rPr>
          <w:rFonts w:hint="eastAsia" w:ascii="宋体" w:hAnsi="宋体"/>
          <w:szCs w:val="21"/>
        </w:rPr>
        <w:t>根据《中华人民共和国民法典》等相关法律法规</w:t>
      </w:r>
      <w:r>
        <w:rPr>
          <w:rFonts w:hint="eastAsia" w:ascii="宋体" w:hAnsi="宋体"/>
          <w:szCs w:val="21"/>
          <w:highlight w:val="yellow"/>
        </w:rPr>
        <w:t>及</w:t>
      </w:r>
      <w:r>
        <w:rPr>
          <w:rFonts w:ascii="宋体" w:hAnsi="宋体"/>
          <w:szCs w:val="21"/>
          <w:highlight w:val="yellow"/>
        </w:rPr>
        <w:t>年月日</w:t>
      </w:r>
      <w:r>
        <w:rPr>
          <w:rFonts w:hint="eastAsia" w:ascii="宋体" w:hAnsi="宋体"/>
          <w:szCs w:val="21"/>
          <w:highlight w:val="yellow"/>
        </w:rPr>
        <w:t>【</w:t>
      </w:r>
      <w:r>
        <w:rPr>
          <w:rFonts w:hint="eastAsia" w:ascii="宋体" w:hAnsi="宋体"/>
          <w:szCs w:val="21"/>
          <w:highlight w:val="yellow"/>
          <w:u w:val="single"/>
        </w:rPr>
        <w:t xml:space="preserve">               】</w:t>
      </w:r>
      <w:r>
        <w:rPr>
          <w:rFonts w:hint="eastAsia" w:ascii="宋体" w:hAnsi="宋体"/>
          <w:szCs w:val="21"/>
          <w:highlight w:val="yellow"/>
        </w:rPr>
        <w:t>项目招标文件（招标编号：</w:t>
      </w:r>
      <w:r>
        <w:rPr>
          <w:rFonts w:hint="eastAsia" w:ascii="宋体" w:hAnsi="宋体"/>
          <w:szCs w:val="21"/>
          <w:highlight w:val="yellow"/>
          <w:u w:val="single"/>
        </w:rPr>
        <w:t>【                】</w:t>
      </w:r>
      <w:r>
        <w:rPr>
          <w:rFonts w:hint="eastAsia" w:ascii="宋体" w:hAnsi="宋体"/>
          <w:szCs w:val="21"/>
        </w:rPr>
        <w:t>和评标结果的要求，甲、乙双方经协商确定，甲方向乙方采购设备及其服务，为明确双方责任和权利，特签订本合同，共同遵守。具体条款如下：</w:t>
      </w:r>
    </w:p>
    <w:p>
      <w:pPr>
        <w:pStyle w:val="455"/>
        <w:numPr>
          <w:ilvl w:val="0"/>
          <w:numId w:val="5"/>
        </w:numPr>
        <w:spacing w:line="360" w:lineRule="auto"/>
        <w:ind w:firstLineChars="0"/>
        <w:rPr>
          <w:rFonts w:ascii="宋体" w:hAnsi="宋体"/>
          <w:b/>
        </w:rPr>
      </w:pPr>
      <w:r>
        <w:rPr>
          <w:rFonts w:hint="eastAsia" w:ascii="宋体" w:hAnsi="宋体"/>
          <w:b/>
        </w:rPr>
        <w:t>合同设备要求</w:t>
      </w:r>
    </w:p>
    <w:p>
      <w:pPr>
        <w:pStyle w:val="455"/>
        <w:spacing w:line="360" w:lineRule="auto"/>
        <w:rPr>
          <w:rFonts w:ascii="宋体" w:hAnsi="宋体"/>
          <w:szCs w:val="21"/>
        </w:rPr>
      </w:pPr>
      <w:r>
        <w:rPr>
          <w:rFonts w:hint="eastAsia" w:ascii="宋体" w:hAnsi="宋体"/>
          <w:szCs w:val="21"/>
        </w:rPr>
        <w:t>1.1乙方负责向甲方供应下表中所列设备及负责免费安装调试等服务。</w:t>
      </w:r>
    </w:p>
    <w:tbl>
      <w:tblPr>
        <w:tblStyle w:val="5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858"/>
        <w:gridCol w:w="624"/>
        <w:gridCol w:w="643"/>
        <w:gridCol w:w="860"/>
        <w:gridCol w:w="987"/>
        <w:gridCol w:w="534"/>
        <w:gridCol w:w="536"/>
        <w:gridCol w:w="861"/>
        <w:gridCol w:w="846"/>
        <w:gridCol w:w="893"/>
        <w:gridCol w:w="893"/>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203" w:type="pct"/>
            <w:tcBorders>
              <w:top w:val="single" w:color="auto" w:sz="4" w:space="0"/>
              <w:left w:val="single" w:color="auto" w:sz="4" w:space="0"/>
              <w:bottom w:val="single" w:color="auto" w:sz="4" w:space="0"/>
              <w:right w:val="single" w:color="auto" w:sz="4" w:space="0"/>
            </w:tcBorders>
            <w:vAlign w:val="center"/>
          </w:tcPr>
          <w:p>
            <w:pPr>
              <w:spacing w:line="360" w:lineRule="auto"/>
              <w:ind w:left="-2" w:firstLine="2"/>
              <w:jc w:val="center"/>
              <w:rPr>
                <w:rFonts w:ascii="宋体" w:hAnsi="宋体"/>
                <w:szCs w:val="21"/>
                <w:highlight w:val="yellow"/>
              </w:rPr>
            </w:pPr>
            <w:r>
              <w:rPr>
                <w:rFonts w:hint="eastAsia" w:ascii="宋体" w:hAnsi="宋体"/>
                <w:szCs w:val="21"/>
                <w:highlight w:val="yellow"/>
              </w:rPr>
              <w:t>序号</w:t>
            </w:r>
          </w:p>
        </w:tc>
        <w:tc>
          <w:tcPr>
            <w:tcW w:w="437" w:type="pct"/>
            <w:tcBorders>
              <w:top w:val="single" w:color="auto" w:sz="4" w:space="0"/>
              <w:left w:val="single" w:color="auto" w:sz="4" w:space="0"/>
              <w:bottom w:val="single" w:color="auto" w:sz="4" w:space="0"/>
              <w:right w:val="single" w:color="auto" w:sz="4" w:space="0"/>
            </w:tcBorders>
          </w:tcPr>
          <w:p>
            <w:pPr>
              <w:spacing w:line="360" w:lineRule="auto"/>
              <w:ind w:left="-2" w:firstLine="2"/>
              <w:jc w:val="center"/>
              <w:rPr>
                <w:rFonts w:ascii="宋体" w:hAnsi="宋体"/>
                <w:szCs w:val="21"/>
                <w:highlight w:val="yellow"/>
              </w:rPr>
            </w:pPr>
            <w:r>
              <w:rPr>
                <w:rFonts w:hint="eastAsia" w:ascii="宋体" w:hAnsi="宋体"/>
                <w:szCs w:val="21"/>
                <w:highlight w:val="yellow"/>
              </w:rPr>
              <w:t>货物</w:t>
            </w:r>
          </w:p>
          <w:p>
            <w:pPr>
              <w:spacing w:line="360" w:lineRule="auto"/>
              <w:jc w:val="center"/>
              <w:rPr>
                <w:rFonts w:ascii="宋体" w:hAnsi="宋体"/>
                <w:szCs w:val="21"/>
                <w:highlight w:val="yellow"/>
              </w:rPr>
            </w:pPr>
            <w:r>
              <w:rPr>
                <w:rFonts w:hint="eastAsia" w:ascii="宋体" w:hAnsi="宋体"/>
                <w:szCs w:val="21"/>
                <w:highlight w:val="yellow"/>
              </w:rPr>
              <w:t>名称</w:t>
            </w:r>
          </w:p>
        </w:tc>
        <w:tc>
          <w:tcPr>
            <w:tcW w:w="31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产地 品牌</w:t>
            </w:r>
          </w:p>
        </w:tc>
        <w:tc>
          <w:tcPr>
            <w:tcW w:w="32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规格型号</w:t>
            </w:r>
          </w:p>
        </w:tc>
        <w:tc>
          <w:tcPr>
            <w:tcW w:w="43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注册证名</w:t>
            </w:r>
          </w:p>
        </w:tc>
        <w:tc>
          <w:tcPr>
            <w:tcW w:w="50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注册证号</w:t>
            </w:r>
          </w:p>
        </w:tc>
        <w:tc>
          <w:tcPr>
            <w:tcW w:w="27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单位</w:t>
            </w:r>
          </w:p>
        </w:tc>
        <w:tc>
          <w:tcPr>
            <w:tcW w:w="2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数量</w:t>
            </w:r>
          </w:p>
        </w:tc>
        <w:tc>
          <w:tcPr>
            <w:tcW w:w="43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单价（元）</w:t>
            </w:r>
          </w:p>
        </w:tc>
        <w:tc>
          <w:tcPr>
            <w:tcW w:w="42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总价（元）</w:t>
            </w:r>
          </w:p>
        </w:tc>
        <w:tc>
          <w:tcPr>
            <w:tcW w:w="45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随机配件</w:t>
            </w:r>
          </w:p>
        </w:tc>
        <w:tc>
          <w:tcPr>
            <w:tcW w:w="454"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olor w:val="FF0000"/>
                <w:szCs w:val="21"/>
                <w:highlight w:val="yellow"/>
              </w:rPr>
            </w:pPr>
            <w:r>
              <w:rPr>
                <w:rFonts w:hint="eastAsia" w:ascii="宋体" w:hAnsi="宋体"/>
                <w:color w:val="FF0000"/>
                <w:szCs w:val="21"/>
                <w:highlight w:val="yellow"/>
              </w:rPr>
              <w:t>使用科室</w:t>
            </w:r>
          </w:p>
        </w:tc>
        <w:tc>
          <w:tcPr>
            <w:tcW w:w="454"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olor w:val="FF0000"/>
                <w:szCs w:val="21"/>
                <w:highlight w:val="yellow"/>
              </w:rPr>
            </w:pPr>
            <w:r>
              <w:rPr>
                <w:rFonts w:hint="eastAsia" w:ascii="宋体" w:hAnsi="宋体"/>
                <w:color w:val="FF0000"/>
                <w:szCs w:val="21"/>
                <w:highlight w:val="yellow"/>
              </w:rPr>
              <w:t>设备用途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0" w:hRule="atLeast"/>
          <w:jc w:val="center"/>
        </w:trPr>
        <w:tc>
          <w:tcPr>
            <w:tcW w:w="20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highlight w:val="yellow"/>
              </w:rPr>
            </w:pPr>
          </w:p>
        </w:tc>
        <w:tc>
          <w:tcPr>
            <w:tcW w:w="437"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highlight w:val="yellow"/>
              </w:rPr>
            </w:pPr>
          </w:p>
        </w:tc>
        <w:tc>
          <w:tcPr>
            <w:tcW w:w="31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highlight w:val="yellow"/>
              </w:rPr>
            </w:pPr>
          </w:p>
        </w:tc>
        <w:tc>
          <w:tcPr>
            <w:tcW w:w="32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highlight w:val="yellow"/>
              </w:rPr>
            </w:pPr>
          </w:p>
        </w:tc>
        <w:tc>
          <w:tcPr>
            <w:tcW w:w="43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highlight w:val="yellow"/>
              </w:rPr>
            </w:pPr>
          </w:p>
        </w:tc>
        <w:tc>
          <w:tcPr>
            <w:tcW w:w="50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p>
        </w:tc>
        <w:tc>
          <w:tcPr>
            <w:tcW w:w="27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p>
        </w:tc>
        <w:tc>
          <w:tcPr>
            <w:tcW w:w="2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p>
        </w:tc>
        <w:tc>
          <w:tcPr>
            <w:tcW w:w="43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p>
        </w:tc>
        <w:tc>
          <w:tcPr>
            <w:tcW w:w="42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p>
        </w:tc>
        <w:tc>
          <w:tcPr>
            <w:tcW w:w="45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详见配置清单</w:t>
            </w:r>
          </w:p>
        </w:tc>
        <w:tc>
          <w:tcPr>
            <w:tcW w:w="454"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highlight w:val="yellow"/>
              </w:rPr>
            </w:pPr>
          </w:p>
        </w:tc>
        <w:tc>
          <w:tcPr>
            <w:tcW w:w="454"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000" w:type="pct"/>
            <w:gridSpan w:val="13"/>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r>
              <w:rPr>
                <w:rFonts w:hint="eastAsia" w:ascii="宋体" w:hAnsi="宋体"/>
                <w:szCs w:val="21"/>
              </w:rPr>
              <w:t>合计人民币：</w:t>
            </w:r>
            <w:r>
              <w:rPr>
                <w:rFonts w:hint="eastAsia" w:ascii="宋体" w:hAnsi="宋体"/>
                <w:szCs w:val="21"/>
                <w:highlight w:val="yellow"/>
              </w:rPr>
              <w:t>壹佰贰拾叁万肆仟伍佰陆拾元整（￥0.00）</w:t>
            </w:r>
          </w:p>
        </w:tc>
      </w:tr>
    </w:tbl>
    <w:p>
      <w:pPr>
        <w:pStyle w:val="455"/>
        <w:spacing w:line="360" w:lineRule="auto"/>
        <w:rPr>
          <w:rFonts w:ascii="宋体" w:hAnsi="宋体"/>
          <w:szCs w:val="21"/>
        </w:rPr>
      </w:pPr>
      <w:r>
        <w:rPr>
          <w:rFonts w:hint="eastAsia" w:ascii="宋体" w:hAnsi="宋体"/>
          <w:szCs w:val="21"/>
        </w:rPr>
        <w:t>1.2注册证名、产地品牌、规格型号应与在行政部门登记的注册证描述一致并在有效期内。消毒设备在注册证号栏中分别填入注册证号、卫生许可证号、卫生许可证批号。合同设备如属《中华人民共和国进口计量器具型式审查目录》或《中华人民共和国强制检定的工作计量器具目录》内的，乙方需提供计量合格证，所有上述证照办理的费用均包含在合同总价内。如国家规定的强检设备，由乙方负责完成首次计量强制检定，验收前乙方必须附上计量检定合格报告。</w:t>
      </w:r>
    </w:p>
    <w:p>
      <w:pPr>
        <w:pStyle w:val="83"/>
        <w:ind w:firstLine="451"/>
        <w:jc w:val="left"/>
        <w:rPr>
          <w:rFonts w:ascii="宋体" w:hAnsi="宋体"/>
          <w:sz w:val="21"/>
          <w:szCs w:val="21"/>
        </w:rPr>
      </w:pPr>
      <w:r>
        <w:rPr>
          <w:rFonts w:ascii="宋体" w:hAnsi="宋体"/>
          <w:sz w:val="21"/>
          <w:szCs w:val="21"/>
        </w:rPr>
        <w:t>1.3</w:t>
      </w:r>
      <w:r>
        <w:rPr>
          <w:rFonts w:hint="eastAsia" w:ascii="宋体" w:hAnsi="宋体"/>
          <w:sz w:val="21"/>
          <w:szCs w:val="21"/>
        </w:rPr>
        <w:t>进口设备手续（进口设备才使用该条款）。</w:t>
      </w:r>
    </w:p>
    <w:p>
      <w:pPr>
        <w:pStyle w:val="83"/>
        <w:ind w:firstLine="451"/>
        <w:jc w:val="left"/>
        <w:rPr>
          <w:rFonts w:ascii="宋体" w:hAnsi="宋体"/>
          <w:sz w:val="21"/>
          <w:szCs w:val="21"/>
        </w:rPr>
      </w:pPr>
      <w:r>
        <w:rPr>
          <w:rFonts w:hint="eastAsia" w:ascii="宋体" w:hAnsi="宋体"/>
          <w:sz w:val="21"/>
          <w:szCs w:val="21"/>
        </w:rPr>
        <w:t>乙方提供的进口设备必须具有合法的进口手续，进口注册证书、《入境货物检验检疫证明》等中国海关商检合格证明，并负责办理设备进口报关等手续。向甲方提供原产地证明、商检部门的检验证明及其他合法证明，进口医疗设备还须取得国家进口医疗设备注册证。</w:t>
      </w:r>
    </w:p>
    <w:p>
      <w:pPr>
        <w:pStyle w:val="455"/>
        <w:numPr>
          <w:ilvl w:val="0"/>
          <w:numId w:val="5"/>
        </w:numPr>
        <w:spacing w:line="360" w:lineRule="auto"/>
        <w:ind w:firstLineChars="0"/>
        <w:rPr>
          <w:rFonts w:ascii="宋体" w:hAnsi="宋体"/>
          <w:b/>
          <w:sz w:val="22"/>
          <w:szCs w:val="21"/>
        </w:rPr>
      </w:pPr>
      <w:r>
        <w:rPr>
          <w:rFonts w:hint="eastAsia" w:ascii="宋体" w:hAnsi="宋体"/>
          <w:b/>
          <w:sz w:val="22"/>
          <w:szCs w:val="21"/>
        </w:rPr>
        <w:t>合同总价</w:t>
      </w:r>
    </w:p>
    <w:p>
      <w:pPr>
        <w:pStyle w:val="455"/>
        <w:spacing w:line="360" w:lineRule="auto"/>
        <w:rPr>
          <w:rFonts w:ascii="宋体" w:hAnsi="宋体"/>
          <w:szCs w:val="21"/>
        </w:rPr>
      </w:pPr>
      <w:r>
        <w:rPr>
          <w:rFonts w:hint="eastAsia" w:ascii="宋体" w:hAnsi="宋体"/>
          <w:szCs w:val="21"/>
        </w:rPr>
        <w:t>本合同总价为</w:t>
      </w:r>
      <w:r>
        <w:rPr>
          <w:rFonts w:hint="eastAsia" w:ascii="宋体" w:hAnsi="宋体"/>
          <w:szCs w:val="21"/>
          <w:highlight w:val="yellow"/>
        </w:rPr>
        <w:t>人民币元整（￥</w:t>
      </w:r>
      <w:r>
        <w:rPr>
          <w:rFonts w:ascii="宋体" w:hAnsi="宋体"/>
          <w:szCs w:val="21"/>
          <w:highlight w:val="yellow"/>
          <w:u w:val="single"/>
        </w:rPr>
        <w:t>.</w:t>
      </w:r>
      <w:r>
        <w:rPr>
          <w:rFonts w:ascii="宋体" w:hAnsi="宋体"/>
          <w:szCs w:val="21"/>
          <w:highlight w:val="yellow"/>
        </w:rPr>
        <w:t>00</w:t>
      </w:r>
      <w:r>
        <w:rPr>
          <w:rFonts w:hint="eastAsia" w:ascii="宋体" w:hAnsi="宋体"/>
          <w:szCs w:val="21"/>
          <w:highlight w:val="yellow"/>
        </w:rPr>
        <w:t>）</w:t>
      </w:r>
      <w:r>
        <w:rPr>
          <w:rFonts w:hint="eastAsia" w:ascii="宋体" w:hAnsi="宋体"/>
          <w:szCs w:val="21"/>
        </w:rPr>
        <w:t>，以人民币进行结算，总价包含报装、设计、设备制造、包装、仓储、运输、安装调试、验收和保修期届满前备品备件费用以及与本合同设备及服务相关的税和费。合同执行期间合同总价不变。</w:t>
      </w:r>
    </w:p>
    <w:p>
      <w:pPr>
        <w:pStyle w:val="455"/>
        <w:numPr>
          <w:ilvl w:val="0"/>
          <w:numId w:val="5"/>
        </w:numPr>
        <w:spacing w:line="360" w:lineRule="auto"/>
        <w:ind w:firstLineChars="0"/>
        <w:rPr>
          <w:rFonts w:ascii="宋体" w:hAnsi="宋体"/>
          <w:b/>
        </w:rPr>
      </w:pPr>
      <w:r>
        <w:rPr>
          <w:rFonts w:hint="eastAsia" w:ascii="宋体" w:hAnsi="宋体"/>
          <w:b/>
          <w:szCs w:val="21"/>
        </w:rPr>
        <w:t>合同组成</w:t>
      </w:r>
    </w:p>
    <w:p>
      <w:pPr>
        <w:pStyle w:val="455"/>
        <w:spacing w:line="360" w:lineRule="auto"/>
        <w:rPr>
          <w:rFonts w:ascii="宋体" w:hAnsi="宋体"/>
          <w:b/>
        </w:rPr>
      </w:pPr>
      <w:r>
        <w:rPr>
          <w:rFonts w:hint="eastAsia" w:ascii="宋体" w:hAnsi="宋体"/>
          <w:szCs w:val="21"/>
        </w:rPr>
        <w:t>详细价格、技术说明及其它有关合同设备的特定信息由合同附件说明。所有附件及本项目的招投标文件、会议纪要、协议等均为本合同不可分割的部分。</w:t>
      </w:r>
    </w:p>
    <w:p>
      <w:pPr>
        <w:pStyle w:val="455"/>
        <w:numPr>
          <w:ilvl w:val="0"/>
          <w:numId w:val="5"/>
        </w:numPr>
        <w:spacing w:line="360" w:lineRule="auto"/>
        <w:ind w:firstLineChars="0"/>
        <w:rPr>
          <w:rFonts w:ascii="宋体" w:hAnsi="宋体"/>
          <w:b/>
        </w:rPr>
      </w:pPr>
      <w:r>
        <w:rPr>
          <w:rFonts w:hint="eastAsia" w:ascii="宋体" w:hAnsi="宋体"/>
          <w:b/>
          <w:szCs w:val="21"/>
        </w:rPr>
        <w:t>技术要求</w:t>
      </w:r>
    </w:p>
    <w:p>
      <w:pPr>
        <w:pStyle w:val="455"/>
        <w:spacing w:line="360" w:lineRule="auto"/>
        <w:rPr>
          <w:rFonts w:ascii="宋体" w:hAnsi="宋体"/>
          <w:b/>
        </w:rPr>
      </w:pPr>
      <w:r>
        <w:rPr>
          <w:rFonts w:hint="eastAsia" w:ascii="宋体" w:hAnsi="宋体"/>
          <w:szCs w:val="21"/>
        </w:rPr>
        <w:t>乙方所提供设备，必须符合甲方招标文件的要求，符合国家有关安全、环保等规范和要求，并提供设备的测验报告。</w:t>
      </w:r>
    </w:p>
    <w:p>
      <w:pPr>
        <w:pStyle w:val="455"/>
        <w:numPr>
          <w:ilvl w:val="0"/>
          <w:numId w:val="5"/>
        </w:numPr>
        <w:spacing w:line="360" w:lineRule="auto"/>
        <w:ind w:left="0" w:firstLine="422"/>
        <w:rPr>
          <w:rFonts w:ascii="宋体" w:hAnsi="宋体"/>
          <w:b/>
        </w:rPr>
      </w:pPr>
      <w:r>
        <w:rPr>
          <w:rFonts w:hint="eastAsia" w:ascii="宋体" w:hAnsi="宋体"/>
          <w:b/>
          <w:szCs w:val="21"/>
        </w:rPr>
        <w:t>合同设备包装、交货、安装及验收</w:t>
      </w:r>
    </w:p>
    <w:p>
      <w:pPr>
        <w:spacing w:line="360" w:lineRule="auto"/>
        <w:ind w:firstLine="420" w:firstLineChars="200"/>
        <w:rPr>
          <w:rFonts w:ascii="宋体" w:hAnsi="宋体"/>
          <w:b/>
          <w:szCs w:val="21"/>
        </w:rPr>
      </w:pPr>
      <w:r>
        <w:rPr>
          <w:rFonts w:ascii="宋体" w:hAnsi="宋体"/>
          <w:szCs w:val="21"/>
        </w:rPr>
        <w:t xml:space="preserve">5.1 </w:t>
      </w:r>
      <w:r>
        <w:rPr>
          <w:rFonts w:hint="eastAsia" w:ascii="宋体" w:hAnsi="宋体"/>
          <w:szCs w:val="21"/>
        </w:rPr>
        <w:t>合同设备的包装</w:t>
      </w:r>
    </w:p>
    <w:p>
      <w:pPr>
        <w:spacing w:line="360" w:lineRule="auto"/>
        <w:ind w:firstLine="420" w:firstLineChars="200"/>
        <w:rPr>
          <w:rFonts w:ascii="宋体" w:hAnsi="宋体"/>
          <w:szCs w:val="21"/>
        </w:rPr>
      </w:pPr>
      <w:r>
        <w:rPr>
          <w:rFonts w:hint="eastAsia" w:ascii="宋体" w:hAnsi="宋体"/>
          <w:szCs w:val="21"/>
        </w:rPr>
        <w:t>设备的包装均应有良好的防湿、防锈、防潮、防雨、防腐及防碰撞的措施，符合产品标准关于包装的要求。凡由于包装问题造成的损失和由此产生的费用均由乙方承担。</w:t>
      </w:r>
    </w:p>
    <w:p>
      <w:pPr>
        <w:spacing w:line="360" w:lineRule="auto"/>
        <w:ind w:firstLine="420" w:firstLineChars="200"/>
        <w:rPr>
          <w:rFonts w:ascii="宋体" w:hAnsi="宋体"/>
          <w:szCs w:val="21"/>
        </w:rPr>
      </w:pPr>
      <w:r>
        <w:rPr>
          <w:rFonts w:ascii="宋体" w:hAnsi="宋体"/>
          <w:szCs w:val="21"/>
        </w:rPr>
        <w:t>5.2</w:t>
      </w:r>
      <w:r>
        <w:rPr>
          <w:rFonts w:hint="eastAsia" w:ascii="宋体" w:hAnsi="宋体"/>
          <w:szCs w:val="21"/>
        </w:rPr>
        <w:t>合同设备的交货</w:t>
      </w:r>
    </w:p>
    <w:p>
      <w:pPr>
        <w:spacing w:line="360" w:lineRule="auto"/>
        <w:ind w:firstLine="440" w:firstLineChars="200"/>
        <w:rPr>
          <w:rFonts w:ascii="宋体" w:hAnsi="宋体"/>
          <w:color w:val="FF0000"/>
          <w:sz w:val="22"/>
          <w:szCs w:val="21"/>
        </w:rPr>
      </w:pPr>
      <w:r>
        <w:rPr>
          <w:rFonts w:ascii="宋体" w:hAnsi="宋体"/>
          <w:sz w:val="22"/>
          <w:szCs w:val="21"/>
        </w:rPr>
        <w:t>5.2.1</w:t>
      </w:r>
      <w:r>
        <w:rPr>
          <w:rFonts w:hint="eastAsia" w:ascii="宋体" w:hAnsi="宋体"/>
          <w:sz w:val="22"/>
          <w:szCs w:val="21"/>
        </w:rPr>
        <w:t>乙方交货时间：合同签订并接甲方通知</w:t>
      </w:r>
      <w:r>
        <w:rPr>
          <w:rFonts w:hint="eastAsia" w:ascii="宋体" w:hAnsi="宋体"/>
          <w:color w:val="000000" w:themeColor="text1"/>
          <w:sz w:val="22"/>
          <w:szCs w:val="21"/>
          <w:highlight w:val="yellow"/>
        </w:rPr>
        <w:t>后个</w:t>
      </w:r>
      <w:r>
        <w:rPr>
          <w:rFonts w:hint="eastAsia" w:ascii="宋体" w:hAnsi="宋体"/>
          <w:sz w:val="22"/>
          <w:szCs w:val="21"/>
          <w:highlight w:val="yellow"/>
        </w:rPr>
        <w:t>日历</w:t>
      </w:r>
      <w:r>
        <w:rPr>
          <w:rFonts w:hint="eastAsia" w:ascii="宋体" w:hAnsi="宋体"/>
          <w:sz w:val="22"/>
          <w:szCs w:val="21"/>
        </w:rPr>
        <w:t>日内。</w:t>
      </w:r>
    </w:p>
    <w:p>
      <w:pPr>
        <w:spacing w:line="360" w:lineRule="auto"/>
        <w:ind w:firstLine="420" w:firstLineChars="200"/>
        <w:rPr>
          <w:rFonts w:ascii="宋体" w:hAnsi="宋体"/>
          <w:szCs w:val="21"/>
        </w:rPr>
      </w:pPr>
      <w:r>
        <w:rPr>
          <w:rFonts w:ascii="宋体" w:hAnsi="宋体"/>
          <w:szCs w:val="21"/>
        </w:rPr>
        <w:t>5.2.2</w:t>
      </w:r>
      <w:r>
        <w:rPr>
          <w:rFonts w:hint="eastAsia" w:ascii="宋体" w:hAnsi="宋体"/>
          <w:szCs w:val="21"/>
        </w:rPr>
        <w:t>乙方交货地点：运输及卸车搬至甲方指定地点。运输费用及风险由乙方承担。</w:t>
      </w:r>
    </w:p>
    <w:p>
      <w:pPr>
        <w:spacing w:line="360" w:lineRule="auto"/>
        <w:ind w:firstLine="420" w:firstLineChars="200"/>
        <w:rPr>
          <w:rFonts w:ascii="宋体" w:hAnsi="宋体"/>
          <w:szCs w:val="21"/>
        </w:rPr>
      </w:pPr>
      <w:r>
        <w:rPr>
          <w:rFonts w:ascii="宋体" w:hAnsi="宋体"/>
          <w:szCs w:val="21"/>
        </w:rPr>
        <w:t>5.3</w:t>
      </w:r>
      <w:r>
        <w:rPr>
          <w:rFonts w:hint="eastAsia" w:ascii="宋体" w:hAnsi="宋体"/>
          <w:szCs w:val="21"/>
        </w:rPr>
        <w:t>合同设备的安装调试</w:t>
      </w:r>
    </w:p>
    <w:p>
      <w:pPr>
        <w:spacing w:line="360" w:lineRule="auto"/>
        <w:ind w:firstLine="420" w:firstLineChars="200"/>
        <w:rPr>
          <w:rFonts w:ascii="宋体" w:hAnsi="宋体"/>
          <w:szCs w:val="21"/>
        </w:rPr>
      </w:pPr>
      <w:r>
        <w:rPr>
          <w:rFonts w:ascii="宋体" w:hAnsi="宋体"/>
          <w:szCs w:val="21"/>
        </w:rPr>
        <w:t>5.3.1</w:t>
      </w:r>
      <w:r>
        <w:rPr>
          <w:rFonts w:hint="eastAsia" w:ascii="宋体" w:hAnsi="宋体"/>
          <w:szCs w:val="21"/>
        </w:rPr>
        <w:t>安装调试时间：货到</w:t>
      </w:r>
      <w:r>
        <w:rPr>
          <w:rFonts w:ascii="宋体" w:hAnsi="宋体"/>
          <w:szCs w:val="21"/>
          <w:u w:val="single"/>
        </w:rPr>
        <w:t>7</w:t>
      </w:r>
      <w:r>
        <w:rPr>
          <w:rFonts w:hint="eastAsia" w:ascii="宋体" w:hAnsi="宋体"/>
          <w:szCs w:val="21"/>
        </w:rPr>
        <w:t>个日历日内完成。</w:t>
      </w:r>
    </w:p>
    <w:p>
      <w:pPr>
        <w:pStyle w:val="83"/>
        <w:ind w:firstLine="420" w:firstLineChars="200"/>
        <w:jc w:val="left"/>
        <w:rPr>
          <w:rFonts w:ascii="宋体" w:hAnsi="宋体"/>
          <w:color w:val="000000"/>
        </w:rPr>
      </w:pPr>
      <w:r>
        <w:rPr>
          <w:rFonts w:ascii="宋体" w:hAnsi="宋体"/>
          <w:sz w:val="21"/>
          <w:szCs w:val="21"/>
        </w:rPr>
        <w:t>5.3.2</w:t>
      </w:r>
      <w:r>
        <w:rPr>
          <w:rFonts w:hint="eastAsia" w:ascii="宋体" w:hAnsi="宋体"/>
          <w:sz w:val="21"/>
          <w:szCs w:val="21"/>
        </w:rPr>
        <w:t>乙方负责合同项下设备的安装、调试，一切费用及责任由乙方承担。</w:t>
      </w:r>
    </w:p>
    <w:p>
      <w:pPr>
        <w:spacing w:line="360" w:lineRule="auto"/>
        <w:ind w:firstLine="420" w:firstLineChars="200"/>
        <w:rPr>
          <w:rFonts w:ascii="宋体" w:hAnsi="宋体"/>
          <w:szCs w:val="21"/>
        </w:rPr>
      </w:pPr>
      <w:r>
        <w:rPr>
          <w:rFonts w:ascii="宋体" w:hAnsi="宋体"/>
          <w:szCs w:val="21"/>
        </w:rPr>
        <w:t>5.3.3</w:t>
      </w:r>
      <w:r>
        <w:rPr>
          <w:rFonts w:hint="eastAsia" w:ascii="宋体" w:hAnsi="宋体"/>
          <w:szCs w:val="21"/>
        </w:rPr>
        <w:t>货物安装需施工的，乙方应在合同签订前提供设备安装施工图纸，甲方与乙方共同签字确定安装场地施工方案，确保安装场地（包括消防、环保等）适合设备安装，如因乙方延迟提供材料或未及时签字确认方案等致设备无法如期安装所造成的损失由乙方承担。安装前乙方通知甲方使用科室、设备科三方共同到场开箱，并填写开箱记录。乙方应提供与货物相符且完整的资料，提供包括但不限于如下资料：①产品安装、操作和维修手册②中文版使用说明书③出厂合格证（进口产品提供进口报关单及检疫证明）④到货清单。</w:t>
      </w:r>
    </w:p>
    <w:p>
      <w:pPr>
        <w:spacing w:line="360" w:lineRule="auto"/>
        <w:ind w:firstLine="420" w:firstLineChars="200"/>
        <w:rPr>
          <w:rFonts w:ascii="宋体" w:hAnsi="宋体"/>
          <w:szCs w:val="21"/>
        </w:rPr>
      </w:pPr>
      <w:r>
        <w:rPr>
          <w:rFonts w:ascii="宋体" w:hAnsi="宋体"/>
          <w:szCs w:val="21"/>
        </w:rPr>
        <w:t>5.3.4</w:t>
      </w:r>
      <w:r>
        <w:rPr>
          <w:rFonts w:hint="eastAsia" w:ascii="宋体" w:hAnsi="宋体"/>
          <w:szCs w:val="21"/>
        </w:rPr>
        <w:t>乙方安装时须对安装场地及场地内的其他设备、设施有良好保护措施。如因乙方原因造成甲方场地或场地内其他设备、设施损坏，由乙方承担赔偿责任。如安装地点不适合应当书面通知甲方调换合适的地点，设备运送、安装调试以及计量检测所产生的费用由乙方负责。</w:t>
      </w:r>
    </w:p>
    <w:p>
      <w:pPr>
        <w:spacing w:line="360" w:lineRule="auto"/>
        <w:ind w:firstLine="420" w:firstLineChars="200"/>
        <w:rPr>
          <w:rFonts w:ascii="宋体" w:hAnsi="宋体"/>
          <w:szCs w:val="21"/>
        </w:rPr>
      </w:pPr>
      <w:r>
        <w:rPr>
          <w:rFonts w:ascii="宋体" w:hAnsi="宋体"/>
          <w:szCs w:val="21"/>
        </w:rPr>
        <w:t>5.4</w:t>
      </w:r>
      <w:r>
        <w:rPr>
          <w:rFonts w:hint="eastAsia" w:ascii="宋体" w:hAnsi="宋体"/>
          <w:szCs w:val="21"/>
        </w:rPr>
        <w:t>设备的验收</w:t>
      </w:r>
    </w:p>
    <w:p>
      <w:pPr>
        <w:spacing w:line="360" w:lineRule="auto"/>
        <w:ind w:firstLine="420" w:firstLineChars="200"/>
        <w:rPr>
          <w:rFonts w:ascii="宋体" w:hAnsi="宋体"/>
          <w:szCs w:val="21"/>
        </w:rPr>
      </w:pPr>
      <w:r>
        <w:rPr>
          <w:rFonts w:ascii="宋体" w:hAnsi="宋体"/>
          <w:szCs w:val="21"/>
        </w:rPr>
        <w:t>5.4.1验收时间：设备安装调试完毕，并正常运行后</w:t>
      </w:r>
      <w:r>
        <w:rPr>
          <w:rFonts w:ascii="宋体" w:hAnsi="宋体"/>
          <w:szCs w:val="21"/>
          <w:u w:val="single"/>
        </w:rPr>
        <w:t>30</w:t>
      </w:r>
      <w:r>
        <w:rPr>
          <w:rFonts w:hint="eastAsia" w:ascii="宋体" w:hAnsi="宋体"/>
          <w:szCs w:val="21"/>
        </w:rPr>
        <w:t>个日历日内。</w:t>
      </w:r>
    </w:p>
    <w:p>
      <w:pPr>
        <w:spacing w:line="360" w:lineRule="auto"/>
        <w:ind w:firstLine="420" w:firstLineChars="200"/>
        <w:rPr>
          <w:rFonts w:ascii="宋体" w:hAnsi="宋体"/>
          <w:szCs w:val="21"/>
        </w:rPr>
      </w:pPr>
      <w:r>
        <w:rPr>
          <w:rFonts w:ascii="宋体" w:hAnsi="宋体"/>
          <w:szCs w:val="21"/>
        </w:rPr>
        <w:t>5.4.2</w:t>
      </w:r>
      <w:r>
        <w:rPr>
          <w:rFonts w:hint="eastAsia" w:ascii="宋体" w:hAnsi="宋体"/>
          <w:szCs w:val="21"/>
        </w:rPr>
        <w:t>验收日期前乙方必须完成合同约定的各项培训，包括对甲方相关人员进行货物使用培训及日常保养培训并提供培训记录。现场验收时乙方提供必要的技术支持并协助甲方完成各项指标和功能的测试，否则因验收延误所产生的后果由乙方负责。</w:t>
      </w:r>
    </w:p>
    <w:p>
      <w:pPr>
        <w:spacing w:line="360" w:lineRule="auto"/>
        <w:ind w:firstLine="420" w:firstLineChars="200"/>
        <w:rPr>
          <w:rFonts w:ascii="宋体" w:hAnsi="宋体"/>
          <w:szCs w:val="21"/>
        </w:rPr>
      </w:pPr>
      <w:r>
        <w:rPr>
          <w:rFonts w:ascii="宋体" w:hAnsi="宋体"/>
          <w:szCs w:val="21"/>
        </w:rPr>
        <w:t>5.4.</w:t>
      </w:r>
      <w:r>
        <w:rPr>
          <w:rFonts w:hint="eastAsia" w:ascii="宋体" w:hAnsi="宋体"/>
          <w:szCs w:val="21"/>
        </w:rPr>
        <w:t>3 合同设备安装调试完毕后，乙方应及时书面提请验收，验收应在甲乙双方共同参加下进行。乙方保证设备自全部货物到齐，安装调试</w:t>
      </w:r>
      <w:r>
        <w:rPr>
          <w:rFonts w:ascii="宋体" w:hAnsi="宋体"/>
          <w:szCs w:val="21"/>
        </w:rPr>
        <w:t>完毕并正常运行后</w:t>
      </w:r>
      <w:r>
        <w:rPr>
          <w:rFonts w:ascii="宋体" w:hAnsi="宋体"/>
          <w:szCs w:val="21"/>
          <w:u w:val="single"/>
        </w:rPr>
        <w:t>30</w:t>
      </w:r>
      <w:r>
        <w:rPr>
          <w:rFonts w:hint="eastAsia" w:ascii="宋体" w:hAnsi="宋体"/>
          <w:szCs w:val="21"/>
        </w:rPr>
        <w:t>个日历日内通过验收。乙方提供的货物的风险在货物验收合格后转移至甲方。因乙方未及时书面提请验收造成付款延误的，由乙方自行承担责任。</w:t>
      </w:r>
    </w:p>
    <w:p>
      <w:pPr>
        <w:spacing w:line="360" w:lineRule="auto"/>
        <w:ind w:firstLine="420" w:firstLineChars="200"/>
        <w:rPr>
          <w:rFonts w:ascii="宋体" w:hAnsi="宋体"/>
          <w:szCs w:val="21"/>
        </w:rPr>
      </w:pPr>
      <w:r>
        <w:rPr>
          <w:rFonts w:ascii="宋体" w:hAnsi="宋体"/>
          <w:szCs w:val="21"/>
        </w:rPr>
        <w:t>5.4.</w:t>
      </w:r>
      <w:r>
        <w:rPr>
          <w:rFonts w:hint="eastAsia" w:ascii="宋体" w:hAnsi="宋体"/>
          <w:szCs w:val="21"/>
        </w:rPr>
        <w:t>4验收按本合同要求及国家有关的规定、规范进行。验收时如发现所交付的设备有短装、次品、损坏或其它不符合本合同规定之情形者，甲方可作现场记录，或由甲乙双方签署备忘录。此现场记录或备忘录可用作换货、补充缺失、更换损坏部件和追责的有效证据。由此产生的有关费用由乙方承担。</w:t>
      </w:r>
      <w:r>
        <w:rPr>
          <w:rFonts w:hint="eastAsia" w:ascii="宋体" w:hAnsi="宋体"/>
          <w:bCs/>
          <w:szCs w:val="21"/>
        </w:rPr>
        <w:t>乙方提供的各种文件载明的内容必须真实，甲方对产品的技术数据置疑时，有权要求乙方按照双方认可的第三方检测机构出具的检验方法进行检测(检测费用由乙方承担)，检测结果必须证明乙方提供的技术数据是真实的，否则视为不合格。</w:t>
      </w:r>
    </w:p>
    <w:p>
      <w:pPr>
        <w:tabs>
          <w:tab w:val="left" w:pos="780"/>
        </w:tabs>
        <w:spacing w:line="360" w:lineRule="auto"/>
        <w:ind w:firstLine="420" w:firstLineChars="200"/>
        <w:rPr>
          <w:rFonts w:ascii="宋体" w:hAnsi="宋体"/>
          <w:szCs w:val="21"/>
        </w:rPr>
      </w:pPr>
      <w:r>
        <w:rPr>
          <w:rFonts w:ascii="宋体" w:hAnsi="宋体"/>
          <w:szCs w:val="21"/>
        </w:rPr>
        <w:t>5.4.</w:t>
      </w:r>
      <w:r>
        <w:rPr>
          <w:rFonts w:hint="eastAsia" w:ascii="宋体" w:hAnsi="宋体"/>
          <w:szCs w:val="21"/>
        </w:rPr>
        <w:t>5验收发现货物短装、损坏或质量不符合本合同之规定，不论何种原因导致，在甲方提出换货要求的情况下，乙方应及时安排换货，以保证合同设备如期安装、通过验收。换货的相关费用和相应后果由乙方承担，验收时间不予顺延。</w:t>
      </w:r>
    </w:p>
    <w:p>
      <w:pPr>
        <w:spacing w:line="360" w:lineRule="auto"/>
        <w:ind w:firstLine="420" w:firstLineChars="200"/>
        <w:rPr>
          <w:rFonts w:ascii="宋体" w:hAnsi="宋体"/>
          <w:szCs w:val="21"/>
        </w:rPr>
      </w:pPr>
      <w:r>
        <w:rPr>
          <w:rFonts w:ascii="宋体" w:hAnsi="宋体"/>
          <w:szCs w:val="21"/>
        </w:rPr>
        <w:t>5.5</w:t>
      </w:r>
      <w:r>
        <w:rPr>
          <w:rFonts w:hint="eastAsia" w:ascii="宋体" w:hAnsi="宋体"/>
          <w:szCs w:val="21"/>
        </w:rPr>
        <w:t>设备的所有权、知识产权保证</w:t>
      </w:r>
    </w:p>
    <w:p>
      <w:pPr>
        <w:spacing w:line="360" w:lineRule="auto"/>
        <w:ind w:firstLine="420" w:firstLineChars="200"/>
        <w:rPr>
          <w:rFonts w:ascii="宋体" w:hAnsi="宋体"/>
          <w:szCs w:val="21"/>
        </w:rPr>
      </w:pPr>
      <w:r>
        <w:rPr>
          <w:rFonts w:hint="eastAsia" w:ascii="宋体" w:hAnsi="宋体"/>
          <w:szCs w:val="21"/>
        </w:rPr>
        <w:t>5.5.1 乙方保证其提供的设备不侵犯任何第三方的所有权、知识产权等合法权益。如第三方对设备提出权利请求的，甲方不涉入任何此等纠纷，由乙方负责解决并承担责任；如甲方涉入纠纷，则乙方同意赔偿甲方因涉入纠纷所承担的所有费用，包括但不限于上述纠纷中所产生的一切诉讼/仲裁费用、律师费用、和解金额或终审判决中规定的赔偿金额等。</w:t>
      </w:r>
    </w:p>
    <w:p>
      <w:pPr>
        <w:spacing w:line="360" w:lineRule="auto"/>
        <w:ind w:firstLine="420" w:firstLineChars="200"/>
        <w:rPr>
          <w:rFonts w:ascii="宋体" w:hAnsi="宋体"/>
          <w:szCs w:val="21"/>
        </w:rPr>
      </w:pPr>
      <w:r>
        <w:rPr>
          <w:rFonts w:hint="eastAsia" w:ascii="宋体" w:hAnsi="宋体"/>
          <w:szCs w:val="21"/>
        </w:rPr>
        <w:t>5.5.2 如有关法院、仲裁机构或行政机关禁止甲方继续使用本合同项目下设备的部分或全部，乙方应酌情采取以下措施之一：</w:t>
      </w:r>
    </w:p>
    <w:p>
      <w:pPr>
        <w:spacing w:line="360" w:lineRule="auto"/>
        <w:ind w:firstLine="420" w:firstLineChars="200"/>
        <w:rPr>
          <w:rFonts w:ascii="宋体" w:hAnsi="宋体"/>
          <w:szCs w:val="21"/>
        </w:rPr>
      </w:pPr>
      <w:r>
        <w:rPr>
          <w:rFonts w:hint="eastAsia" w:ascii="宋体" w:hAnsi="宋体"/>
          <w:szCs w:val="21"/>
        </w:rPr>
        <w:t xml:space="preserve">（1）使甲方重新免费获得使用上述设备的权利； </w:t>
      </w:r>
    </w:p>
    <w:p>
      <w:pPr>
        <w:spacing w:line="360" w:lineRule="auto"/>
        <w:ind w:firstLine="420" w:firstLineChars="200"/>
        <w:rPr>
          <w:rFonts w:ascii="宋体" w:hAnsi="宋体"/>
          <w:szCs w:val="21"/>
        </w:rPr>
      </w:pPr>
      <w:r>
        <w:rPr>
          <w:rFonts w:hint="eastAsia" w:ascii="宋体" w:hAnsi="宋体"/>
          <w:szCs w:val="21"/>
        </w:rPr>
        <w:t>（2）免费更换或改造上述设备，使甲方不受上述禁令限制继续使用该设备。乙方采取上述措施不能免除乙方就甲方因此遭受的损失进行赔偿的义务。</w:t>
      </w:r>
    </w:p>
    <w:p>
      <w:pPr>
        <w:pStyle w:val="455"/>
        <w:numPr>
          <w:ilvl w:val="0"/>
          <w:numId w:val="5"/>
        </w:numPr>
        <w:spacing w:line="360" w:lineRule="auto"/>
        <w:ind w:firstLineChars="0"/>
        <w:rPr>
          <w:rFonts w:ascii="宋体" w:hAnsi="宋体"/>
          <w:b/>
        </w:rPr>
      </w:pPr>
      <w:r>
        <w:rPr>
          <w:rFonts w:hint="eastAsia" w:ascii="宋体" w:hAnsi="宋体"/>
          <w:b/>
          <w:szCs w:val="21"/>
        </w:rPr>
        <w:t>质量保证及售后服务</w:t>
      </w:r>
    </w:p>
    <w:p>
      <w:pPr>
        <w:spacing w:line="360" w:lineRule="auto"/>
        <w:ind w:firstLine="420" w:firstLineChars="200"/>
        <w:rPr>
          <w:rFonts w:ascii="宋体" w:hAnsi="宋体"/>
          <w:szCs w:val="21"/>
        </w:rPr>
      </w:pPr>
      <w:r>
        <w:rPr>
          <w:rFonts w:ascii="宋体" w:hAnsi="宋体"/>
          <w:szCs w:val="21"/>
        </w:rPr>
        <w:t>6.1</w:t>
      </w:r>
      <w:r>
        <w:rPr>
          <w:rFonts w:ascii="宋体" w:hAnsi="宋体"/>
          <w:szCs w:val="21"/>
        </w:rPr>
        <w:tab/>
      </w:r>
      <w:r>
        <w:rPr>
          <w:rFonts w:hint="eastAsia" w:ascii="宋体" w:hAnsi="宋体"/>
          <w:szCs w:val="21"/>
        </w:rPr>
        <w:t>乙方保证合同设备是全新、未曾使用过的，其质量、规格及技术特征符合合同要求。</w:t>
      </w:r>
    </w:p>
    <w:p>
      <w:pPr>
        <w:spacing w:line="360" w:lineRule="auto"/>
        <w:ind w:firstLine="420" w:firstLineChars="200"/>
        <w:rPr>
          <w:rFonts w:ascii="宋体" w:hAnsi="宋体"/>
          <w:szCs w:val="21"/>
        </w:rPr>
      </w:pPr>
      <w:r>
        <w:rPr>
          <w:rFonts w:hint="eastAsia" w:ascii="宋体" w:hAnsi="宋体"/>
          <w:szCs w:val="21"/>
        </w:rPr>
        <w:t>6.2质量保证期（即免费保修期）及售后服务。质保期自设备安装调试验收合格开始起算，质保期内免费提供每年</w:t>
      </w:r>
      <w:r>
        <w:rPr>
          <w:rFonts w:ascii="宋体" w:hAnsi="宋体"/>
          <w:szCs w:val="21"/>
        </w:rPr>
        <w:t xml:space="preserve"> 2 </w:t>
      </w:r>
      <w:r>
        <w:rPr>
          <w:rFonts w:hint="eastAsia" w:ascii="宋体" w:hAnsi="宋体"/>
          <w:szCs w:val="21"/>
        </w:rPr>
        <w:t>次定期保养。</w:t>
      </w:r>
    </w:p>
    <w:p>
      <w:pPr>
        <w:spacing w:line="360" w:lineRule="auto"/>
        <w:ind w:firstLine="420" w:firstLineChars="200"/>
        <w:rPr>
          <w:rFonts w:ascii="宋体" w:hAnsi="宋体"/>
          <w:szCs w:val="21"/>
        </w:rPr>
      </w:pPr>
      <w:r>
        <w:rPr>
          <w:rFonts w:hint="eastAsia" w:ascii="宋体" w:hAnsi="宋体"/>
          <w:szCs w:val="21"/>
        </w:rPr>
        <w:t>6.2.1 合同设备的质量保证期自甲方有关部门验收签字之日起计算，所有设备整机免费</w:t>
      </w:r>
      <w:r>
        <w:rPr>
          <w:rFonts w:hint="eastAsia" w:ascii="宋体" w:hAnsi="宋体"/>
          <w:szCs w:val="21"/>
          <w:highlight w:val="yellow"/>
        </w:rPr>
        <w:t>原厂保修期【  】年</w:t>
      </w:r>
      <w:r>
        <w:rPr>
          <w:rFonts w:hint="eastAsia" w:ascii="宋体" w:hAnsi="宋体"/>
          <w:szCs w:val="21"/>
        </w:rPr>
        <w:t>。保修期内【设备故障率】≤【 5 】%。【设备故障率】未达要求的，每升高【1】%，保修期顺延【30 】天。当【设备故障率】≥【 10 】%时，乙方必须在甲方提出要求之日起【 30 】日内无条件更换新机，并按该设备总价的【5】%向甲方支付违约金，由此造成甲方其他损失的，乙方应另行赔偿。乙方维修的指定邮</w:t>
      </w:r>
      <w:r>
        <w:rPr>
          <w:rFonts w:hint="eastAsia" w:ascii="宋体" w:hAnsi="宋体"/>
          <w:szCs w:val="21"/>
          <w:highlight w:val="yellow"/>
        </w:rPr>
        <w:t>箱为</w:t>
      </w:r>
      <w:r>
        <w:rPr>
          <w:rFonts w:ascii="宋体" w:hAnsi="宋体"/>
          <w:szCs w:val="21"/>
          <w:highlight w:val="yellow"/>
        </w:rPr>
        <w:t>，</w:t>
      </w:r>
      <w:r>
        <w:rPr>
          <w:rFonts w:hint="eastAsia" w:ascii="宋体" w:hAnsi="宋体"/>
          <w:szCs w:val="21"/>
          <w:highlight w:val="yellow"/>
        </w:rPr>
        <w:t>维修电话为</w:t>
      </w:r>
      <w:r>
        <w:rPr>
          <w:rFonts w:hint="eastAsia" w:ascii="宋体" w:hAnsi="宋体"/>
          <w:szCs w:val="21"/>
        </w:rPr>
        <w:t>，甲方维修通知的邮件发出后，视为甲方的维修通知送达乙方。</w:t>
      </w:r>
    </w:p>
    <w:p>
      <w:pPr>
        <w:spacing w:line="360" w:lineRule="auto"/>
        <w:ind w:firstLine="420" w:firstLineChars="200"/>
        <w:rPr>
          <w:rFonts w:ascii="宋体" w:hAnsi="宋体"/>
          <w:szCs w:val="21"/>
        </w:rPr>
      </w:pPr>
      <w:r>
        <w:rPr>
          <w:rFonts w:hint="eastAsia" w:ascii="宋体" w:hAnsi="宋体"/>
          <w:szCs w:val="21"/>
        </w:rPr>
        <w:t>6.2.2</w:t>
      </w:r>
      <w:r>
        <w:rPr>
          <w:rFonts w:hint="eastAsia" w:ascii="宋体" w:hAnsi="宋体" w:cs="Arial"/>
          <w:szCs w:val="21"/>
        </w:rPr>
        <w:t>免费保修期内，非甲方人为因素而出现的产品质量及安装问题，由乙方免费负责包修、包换或包退，并承担因此而产生的一切费用。乙方应在收到甲方通知后</w:t>
      </w:r>
      <w:r>
        <w:rPr>
          <w:rFonts w:hint="eastAsia" w:ascii="宋体" w:hAnsi="宋体"/>
          <w:szCs w:val="21"/>
        </w:rPr>
        <w:t>【4】</w:t>
      </w:r>
      <w:r>
        <w:rPr>
          <w:rFonts w:hint="eastAsia" w:ascii="宋体" w:hAnsi="宋体" w:cs="Arial"/>
          <w:szCs w:val="21"/>
        </w:rPr>
        <w:t>小时内派员到现场维修(技术要求另有规定除外)，并在</w:t>
      </w:r>
      <w:r>
        <w:rPr>
          <w:rFonts w:hint="eastAsia" w:ascii="宋体" w:hAnsi="宋体"/>
          <w:szCs w:val="21"/>
        </w:rPr>
        <w:t>【24】</w:t>
      </w:r>
      <w:r>
        <w:rPr>
          <w:rFonts w:hint="eastAsia" w:ascii="宋体" w:hAnsi="宋体" w:cs="Arial"/>
          <w:szCs w:val="21"/>
        </w:rPr>
        <w:t>小时内消除障碍。若乙方未能在</w:t>
      </w:r>
      <w:r>
        <w:rPr>
          <w:rFonts w:hint="eastAsia" w:ascii="宋体" w:hAnsi="宋体"/>
          <w:szCs w:val="21"/>
        </w:rPr>
        <w:t>【4】</w:t>
      </w:r>
      <w:r>
        <w:rPr>
          <w:rFonts w:hint="eastAsia" w:ascii="宋体" w:hAnsi="宋体" w:cs="Arial"/>
          <w:szCs w:val="21"/>
        </w:rPr>
        <w:t>小时内派员到现场维修，乙方应向甲方支付合同金额千分之五的违约金/每次；若乙方未能在</w:t>
      </w:r>
      <w:r>
        <w:rPr>
          <w:rFonts w:hint="eastAsia" w:ascii="宋体" w:hAnsi="宋体"/>
          <w:szCs w:val="21"/>
        </w:rPr>
        <w:t>【24】</w:t>
      </w:r>
      <w:r>
        <w:rPr>
          <w:rFonts w:hint="eastAsia" w:ascii="宋体" w:hAnsi="宋体" w:cs="Arial"/>
          <w:szCs w:val="21"/>
        </w:rPr>
        <w:t>小时内消除障碍，甲方有权聘请第三方消除障碍，由此产生的费用由乙方承担。</w:t>
      </w:r>
    </w:p>
    <w:p>
      <w:pPr>
        <w:spacing w:line="360" w:lineRule="auto"/>
        <w:ind w:firstLine="420" w:firstLineChars="200"/>
        <w:rPr>
          <w:rFonts w:ascii="宋体" w:hAnsi="宋体"/>
          <w:szCs w:val="21"/>
        </w:rPr>
      </w:pPr>
      <w:r>
        <w:rPr>
          <w:rFonts w:hint="eastAsia" w:ascii="宋体" w:hAnsi="宋体"/>
          <w:szCs w:val="21"/>
        </w:rPr>
        <w:t>6.2.3乙方免费提供软件升级服务,并免费开放设备接口，无偿派人配合与甲方信息系统的连接工作(包括接口费与二次开发费)，直至该设备与甲方信息系统可进行完整的数据交换；在设备整机免费保修期内，当甲方信息系统变更并需要与该设备连接时，需无偿派人配合直至该设备与甲方信息系统可进行完整的数据交换。</w:t>
      </w:r>
    </w:p>
    <w:p>
      <w:pPr>
        <w:spacing w:line="360" w:lineRule="auto"/>
        <w:ind w:firstLine="420" w:firstLineChars="200"/>
        <w:rPr>
          <w:rFonts w:ascii="宋体" w:hAnsi="宋体" w:cs="Arial"/>
          <w:szCs w:val="21"/>
        </w:rPr>
      </w:pPr>
      <w:r>
        <w:rPr>
          <w:rFonts w:hint="eastAsia" w:ascii="宋体" w:hAnsi="宋体"/>
          <w:szCs w:val="21"/>
        </w:rPr>
        <w:t>保修期满后乙方对设备终身负责维修、安装、升级软件服务，长期以优惠价提供零配件（乙方提供主要零配件报价单）。设备使用期间乙方每季度至少回访甲方使用科室一次并对设备进行维护</w:t>
      </w:r>
      <w:r>
        <w:rPr>
          <w:rFonts w:hint="eastAsia" w:ascii="宋体" w:hAnsi="宋体" w:cs="Arial"/>
          <w:szCs w:val="21"/>
        </w:rPr>
        <w:t>并留存维护记录。</w:t>
      </w:r>
    </w:p>
    <w:p>
      <w:pPr>
        <w:spacing w:line="360" w:lineRule="auto"/>
        <w:ind w:firstLine="315" w:firstLineChars="150"/>
        <w:rPr>
          <w:rFonts w:ascii="宋体" w:hAnsi="宋体" w:cs="Arial"/>
          <w:szCs w:val="21"/>
        </w:rPr>
      </w:pPr>
      <w:r>
        <w:rPr>
          <w:rFonts w:ascii="宋体" w:hAnsi="宋体" w:cs="Arial"/>
          <w:szCs w:val="21"/>
        </w:rPr>
        <w:t>6.2.4保修期内及外，设备出现故障不能正常使用，乙方应免费提供备用机给甲方使用直至设备修复完好投入使用。</w:t>
      </w:r>
    </w:p>
    <w:p>
      <w:pPr>
        <w:spacing w:line="360" w:lineRule="auto"/>
        <w:ind w:firstLine="420" w:firstLineChars="200"/>
        <w:rPr>
          <w:rFonts w:ascii="宋体" w:hAnsi="宋体" w:cs="Arial"/>
          <w:szCs w:val="21"/>
        </w:rPr>
      </w:pPr>
      <w:r>
        <w:rPr>
          <w:rFonts w:ascii="宋体" w:hAnsi="宋体" w:cs="Arial"/>
          <w:szCs w:val="21"/>
        </w:rPr>
        <w:t xml:space="preserve">6.2.5 </w:t>
      </w:r>
      <w:r>
        <w:rPr>
          <w:rFonts w:hint="eastAsia" w:ascii="宋体" w:hAnsi="宋体" w:cs="Arial"/>
          <w:szCs w:val="21"/>
        </w:rPr>
        <w:t>下列情况乙方不负责免费保修：</w:t>
      </w:r>
    </w:p>
    <w:p>
      <w:pPr>
        <w:spacing w:line="360" w:lineRule="auto"/>
        <w:ind w:firstLine="420" w:firstLineChars="200"/>
        <w:rPr>
          <w:rFonts w:ascii="宋体" w:hAnsi="宋体"/>
          <w:szCs w:val="21"/>
        </w:rPr>
      </w:pPr>
      <w:r>
        <w:rPr>
          <w:rFonts w:hint="eastAsia" w:ascii="宋体" w:hAnsi="宋体"/>
          <w:szCs w:val="21"/>
        </w:rPr>
        <w:t>6.2.5.1甲方不按照乙方提供的正确方法使用而致设备故障、损坏；</w:t>
      </w:r>
    </w:p>
    <w:p>
      <w:pPr>
        <w:spacing w:line="360" w:lineRule="auto"/>
        <w:ind w:firstLine="420" w:firstLineChars="200"/>
        <w:rPr>
          <w:rFonts w:ascii="宋体" w:hAnsi="宋体"/>
          <w:szCs w:val="21"/>
        </w:rPr>
      </w:pPr>
      <w:r>
        <w:rPr>
          <w:rFonts w:hint="eastAsia" w:ascii="宋体" w:hAnsi="宋体"/>
          <w:szCs w:val="21"/>
        </w:rPr>
        <w:t>6.2.5.2甲方擅自改装设备。</w:t>
      </w:r>
    </w:p>
    <w:p>
      <w:pPr>
        <w:spacing w:line="360" w:lineRule="auto"/>
        <w:ind w:firstLine="420" w:firstLineChars="200"/>
        <w:rPr>
          <w:rFonts w:ascii="宋体" w:hAnsi="宋体"/>
          <w:szCs w:val="21"/>
        </w:rPr>
      </w:pPr>
      <w:r>
        <w:rPr>
          <w:rFonts w:ascii="宋体" w:hAnsi="宋体"/>
          <w:szCs w:val="21"/>
        </w:rPr>
        <w:t>6.3</w:t>
      </w:r>
      <w:r>
        <w:rPr>
          <w:rFonts w:ascii="宋体" w:hAnsi="宋体"/>
          <w:szCs w:val="21"/>
        </w:rPr>
        <w:tab/>
      </w:r>
      <w:r>
        <w:rPr>
          <w:rFonts w:hint="eastAsia" w:ascii="宋体" w:hAnsi="宋体"/>
          <w:szCs w:val="21"/>
        </w:rPr>
        <w:t>因设备的质量问题而发生争议，难以界定设备质量是否符合合同要求的，双方均有权请求广东省或深圳市质检部门进行质量鉴定，鉴定费用由乙方预付，经鉴定设备符合合同要求的，鉴定费用由甲方承担；不符合要求的，鉴定费用由乙方承担。</w:t>
      </w:r>
    </w:p>
    <w:p>
      <w:pPr>
        <w:spacing w:line="360" w:lineRule="auto"/>
        <w:ind w:firstLine="420" w:firstLineChars="200"/>
        <w:rPr>
          <w:rFonts w:ascii="宋体" w:hAnsi="宋体"/>
          <w:szCs w:val="21"/>
        </w:rPr>
      </w:pPr>
      <w:r>
        <w:rPr>
          <w:rFonts w:ascii="宋体" w:hAnsi="宋体"/>
          <w:szCs w:val="21"/>
        </w:rPr>
        <w:t>6.4</w:t>
      </w:r>
      <w:r>
        <w:rPr>
          <w:rFonts w:hint="eastAsia" w:ascii="宋体" w:hAnsi="宋体"/>
          <w:szCs w:val="21"/>
        </w:rPr>
        <w:t>临床使用人员及工程人员培训：乙方或设备所属生产厂商需针对临床使用人员及工程人员设计培训方案，主要内容包括但不限于：</w:t>
      </w:r>
    </w:p>
    <w:p>
      <w:pPr>
        <w:spacing w:line="360" w:lineRule="auto"/>
        <w:ind w:firstLine="420" w:firstLineChars="200"/>
        <w:rPr>
          <w:rFonts w:ascii="宋体" w:hAnsi="宋体"/>
          <w:szCs w:val="21"/>
        </w:rPr>
      </w:pPr>
      <w:r>
        <w:rPr>
          <w:rFonts w:hint="eastAsia" w:ascii="宋体" w:hAnsi="宋体"/>
          <w:szCs w:val="21"/>
        </w:rPr>
        <w:t>（1）临床使用及维护保养培训：设备的基本结构、性能、主要部件的构造及修理，日常使用保养与管理，常见故障的排除，紧急情况的处理等培训。本合同已包含培训的所有费用，乙方不得再以任何方式另行收取。</w:t>
      </w:r>
    </w:p>
    <w:p>
      <w:pPr>
        <w:spacing w:line="360" w:lineRule="auto"/>
        <w:ind w:firstLine="420" w:firstLineChars="200"/>
        <w:rPr>
          <w:rFonts w:ascii="宋体" w:hAnsi="宋体"/>
          <w:szCs w:val="21"/>
        </w:rPr>
      </w:pPr>
      <w:r>
        <w:rPr>
          <w:rFonts w:hint="eastAsia" w:ascii="宋体" w:hAnsi="宋体"/>
          <w:szCs w:val="21"/>
        </w:rPr>
        <w:t>6.5 乙方保证合同设备如需专用消耗材料均已在合同附件中列出，合同附件未列的消耗材料视为乙方永久无偿向甲方提供。</w:t>
      </w:r>
    </w:p>
    <w:p>
      <w:pPr>
        <w:spacing w:line="360" w:lineRule="auto"/>
        <w:ind w:firstLine="420" w:firstLineChars="200"/>
        <w:rPr>
          <w:rFonts w:ascii="宋体" w:hAnsi="宋体"/>
          <w:szCs w:val="21"/>
        </w:rPr>
      </w:pPr>
      <w:r>
        <w:rPr>
          <w:rFonts w:ascii="宋体" w:hAnsi="宋体"/>
          <w:szCs w:val="21"/>
        </w:rPr>
        <w:t>6.6乙方应向甲方提供设备原厂维护手册、维修手册、软件备份、故障代码表、备件清单、零部件、维</w:t>
      </w:r>
      <w:r>
        <w:rPr>
          <w:rFonts w:hint="eastAsia" w:ascii="宋体" w:hAnsi="宋体"/>
          <w:szCs w:val="21"/>
        </w:rPr>
        <w:t>修密码等维护维修必需的材料和信息。质保期内乙方必须进行质量“三包”：</w:t>
      </w:r>
      <w:r>
        <w:rPr>
          <w:rFonts w:ascii="宋体" w:hAnsi="宋体"/>
          <w:szCs w:val="21"/>
        </w:rPr>
        <w:t>15</w:t>
      </w:r>
      <w:r>
        <w:rPr>
          <w:rFonts w:hint="eastAsia" w:ascii="宋体" w:hAnsi="宋体"/>
          <w:szCs w:val="21"/>
        </w:rPr>
        <w:t>天内无条件退货；</w:t>
      </w:r>
      <w:r>
        <w:rPr>
          <w:rFonts w:ascii="宋体" w:hAnsi="宋体"/>
          <w:szCs w:val="21"/>
        </w:rPr>
        <w:t>30</w:t>
      </w:r>
      <w:r>
        <w:rPr>
          <w:rFonts w:hint="eastAsia" w:ascii="宋体" w:hAnsi="宋体"/>
          <w:szCs w:val="21"/>
        </w:rPr>
        <w:t>天内出现质量问题直接更换；</w:t>
      </w:r>
      <w:r>
        <w:rPr>
          <w:rFonts w:ascii="宋体" w:hAnsi="宋体"/>
          <w:szCs w:val="21"/>
        </w:rPr>
        <w:t>30</w:t>
      </w:r>
      <w:r>
        <w:rPr>
          <w:rFonts w:hint="eastAsia" w:ascii="宋体" w:hAnsi="宋体"/>
          <w:szCs w:val="21"/>
        </w:rPr>
        <w:t>天后修理两次仍不能正常使用的或每次修理时间超过</w:t>
      </w:r>
      <w:r>
        <w:rPr>
          <w:rFonts w:ascii="宋体" w:hAnsi="宋体"/>
          <w:szCs w:val="21"/>
        </w:rPr>
        <w:t xml:space="preserve">15 </w:t>
      </w:r>
      <w:r>
        <w:rPr>
          <w:rFonts w:hint="eastAsia" w:ascii="宋体" w:hAnsi="宋体"/>
          <w:szCs w:val="21"/>
        </w:rPr>
        <w:t>天的，应予退货。</w:t>
      </w:r>
    </w:p>
    <w:p>
      <w:pPr>
        <w:spacing w:line="360" w:lineRule="auto"/>
        <w:ind w:firstLine="422" w:firstLineChars="200"/>
        <w:rPr>
          <w:rFonts w:ascii="宋体" w:hAnsi="宋体"/>
          <w:b/>
          <w:szCs w:val="21"/>
          <w:highlight w:val="yellow"/>
        </w:rPr>
      </w:pPr>
      <w:r>
        <w:rPr>
          <w:rFonts w:hint="eastAsia" w:ascii="宋体" w:hAnsi="宋体"/>
          <w:b/>
          <w:szCs w:val="21"/>
          <w:highlight w:val="yellow"/>
        </w:rPr>
        <w:t>7.  财政资金设备付款方式 ：</w:t>
      </w:r>
    </w:p>
    <w:p>
      <w:pPr>
        <w:widowControl/>
        <w:spacing w:line="540" w:lineRule="exact"/>
        <w:ind w:firstLine="422" w:firstLineChars="200"/>
        <w:jc w:val="left"/>
        <w:rPr>
          <w:rFonts w:ascii="宋体" w:hAnsi="宋体"/>
          <w:b/>
          <w:color w:val="FF0000"/>
          <w:szCs w:val="21"/>
          <w:highlight w:val="yellow"/>
        </w:rPr>
      </w:pPr>
      <w:r>
        <w:rPr>
          <w:rFonts w:hint="eastAsia" w:ascii="宋体" w:hAnsi="宋体"/>
          <w:b/>
          <w:color w:val="FF0000"/>
          <w:szCs w:val="21"/>
          <w:highlight w:val="yellow"/>
        </w:rPr>
        <w:t>100万以下：</w:t>
      </w:r>
    </w:p>
    <w:p>
      <w:pPr>
        <w:widowControl/>
        <w:spacing w:line="540" w:lineRule="exact"/>
        <w:ind w:firstLine="420" w:firstLineChars="200"/>
        <w:jc w:val="left"/>
        <w:rPr>
          <w:rFonts w:ascii="宋体" w:hAnsi="宋体" w:cs="宋体"/>
          <w:kern w:val="0"/>
          <w:szCs w:val="21"/>
        </w:rPr>
      </w:pPr>
      <w:r>
        <w:rPr>
          <w:rFonts w:hint="eastAsia" w:ascii="宋体" w:hAnsi="宋体"/>
          <w:szCs w:val="21"/>
        </w:rPr>
        <w:t>货到清点、安装调试验收合格正常使用后出具全额发票，同时将合同总价5%的履约保证金汇入甲方指定账户，甲方凭乙方提供的完整资料向福田区相关部门申请支付100%合同货款到乙方指定账户。</w:t>
      </w:r>
    </w:p>
    <w:p>
      <w:pPr>
        <w:widowControl/>
        <w:spacing w:line="540" w:lineRule="exact"/>
        <w:ind w:firstLine="420" w:firstLineChars="200"/>
        <w:jc w:val="left"/>
        <w:rPr>
          <w:rFonts w:ascii="宋体" w:hAnsi="宋体"/>
          <w:color w:val="FF0000"/>
          <w:szCs w:val="21"/>
        </w:rPr>
      </w:pPr>
      <w:r>
        <w:rPr>
          <w:rFonts w:hint="eastAsia" w:ascii="宋体" w:hAnsi="宋体"/>
          <w:szCs w:val="21"/>
        </w:rPr>
        <w:t>乙方向甲方支付合同总价5%的履约保证金，用于补偿甲方因乙方提供的设备质量问题或不履行保修责任事项而蒙受的损失，如乙方提供的设备质量出现问题或乙方不履行/不妥善履行保修责任事项的，甲方有权直接从履约保证金中扣除相应违约金/损失赔偿款项。如果在免费保修期内未发生设备质量问题或未发生乙方不履行或不当履行保修责任事项的情况，</w:t>
      </w:r>
      <w:r>
        <w:rPr>
          <w:rFonts w:hint="eastAsia" w:ascii="宋体" w:hAnsi="宋体"/>
          <w:color w:val="FF0000"/>
          <w:szCs w:val="21"/>
        </w:rPr>
        <w:t>在合同设备免费保修期满后，乙方向甲方提供完整资料到达甲方财务之日起30日内，甲方将履约保证金无息返还给乙方。</w:t>
      </w:r>
    </w:p>
    <w:p>
      <w:pPr>
        <w:spacing w:line="360" w:lineRule="auto"/>
        <w:ind w:firstLine="422" w:firstLineChars="200"/>
        <w:jc w:val="left"/>
        <w:rPr>
          <w:rFonts w:ascii="宋体" w:hAnsi="宋体"/>
          <w:b/>
          <w:color w:val="FF0000"/>
          <w:szCs w:val="21"/>
        </w:rPr>
      </w:pPr>
      <w:r>
        <w:rPr>
          <w:rFonts w:hint="eastAsia" w:ascii="宋体" w:hAnsi="宋体"/>
          <w:b/>
          <w:color w:val="FF0000"/>
          <w:szCs w:val="21"/>
          <w:highlight w:val="yellow"/>
        </w:rPr>
        <w:t>100万以上：</w:t>
      </w:r>
    </w:p>
    <w:p>
      <w:pPr>
        <w:widowControl/>
        <w:spacing w:line="540" w:lineRule="exact"/>
        <w:ind w:firstLine="420" w:firstLineChars="200"/>
        <w:jc w:val="left"/>
        <w:rPr>
          <w:rFonts w:ascii="宋体" w:hAnsi="宋体"/>
          <w:szCs w:val="21"/>
        </w:rPr>
      </w:pPr>
      <w:r>
        <w:rPr>
          <w:rFonts w:hint="eastAsia" w:ascii="宋体" w:hAnsi="宋体"/>
          <w:szCs w:val="21"/>
        </w:rPr>
        <w:t>货到清点、安装调试验收合格正常使用后出具全额发票，</w:t>
      </w:r>
      <w:r>
        <w:rPr>
          <w:color w:val="FF0000"/>
        </w:rPr>
        <w:t>并同时将合同总价5%的履约保证金以支票、汇票、本票或者金融机构、担保机构出具的保函等非现金形式提交</w:t>
      </w:r>
      <w:r>
        <w:rPr>
          <w:rFonts w:hint="eastAsia"/>
          <w:color w:val="FF0000"/>
        </w:rPr>
        <w:t>甲方</w:t>
      </w:r>
      <w:r>
        <w:rPr>
          <w:color w:val="FF0000"/>
        </w:rPr>
        <w:t>指定账户，</w:t>
      </w:r>
      <w:r>
        <w:rPr>
          <w:rFonts w:hint="eastAsia"/>
          <w:color w:val="FF0000"/>
        </w:rPr>
        <w:t>甲方</w:t>
      </w:r>
      <w:r>
        <w:rPr>
          <w:color w:val="FF0000"/>
        </w:rPr>
        <w:t>凭</w:t>
      </w:r>
      <w:r>
        <w:rPr>
          <w:rFonts w:hint="eastAsia"/>
          <w:color w:val="FF0000"/>
        </w:rPr>
        <w:t>乙方</w:t>
      </w:r>
      <w:r>
        <w:rPr>
          <w:color w:val="FF0000"/>
        </w:rPr>
        <w:t>提供的完整资料向福田区相关部门申请支付100%合同货款到中标人指定账户。</w:t>
      </w:r>
    </w:p>
    <w:p>
      <w:pPr>
        <w:widowControl/>
        <w:spacing w:line="540" w:lineRule="exact"/>
        <w:ind w:firstLine="420" w:firstLineChars="200"/>
        <w:jc w:val="left"/>
        <w:rPr>
          <w:rFonts w:ascii="宋体" w:hAnsi="宋体"/>
          <w:szCs w:val="21"/>
        </w:rPr>
      </w:pPr>
      <w:r>
        <w:rPr>
          <w:rFonts w:hint="eastAsia" w:ascii="宋体" w:hAnsi="宋体"/>
          <w:szCs w:val="21"/>
        </w:rPr>
        <w:t xml:space="preserve">   乙方向甲方支付合同总价5%的履约保证金，用于补偿甲方因乙方提供的设备质量问题或不履行保修责任事项而蒙受的损失，如乙方提供的设备质量出现问题或乙方不履行/不妥善履行保修责任事项的，甲方有权直接从履约保证金中扣除相应违约金/损失赔偿款项。如果在免费保修期内未发生设备质量问题或未发生乙方不履行或不当履行保修责任事项的情况，在合同设备免费保修期满后，乙方向甲方提供完整资料到达甲方财务之日起30日内，甲方将履约保证金无息返还给乙方。</w:t>
      </w:r>
    </w:p>
    <w:p>
      <w:pPr>
        <w:spacing w:line="360" w:lineRule="auto"/>
        <w:ind w:firstLine="420" w:firstLineChars="200"/>
        <w:jc w:val="left"/>
        <w:rPr>
          <w:rFonts w:ascii="宋体" w:hAnsi="宋体"/>
          <w:szCs w:val="21"/>
        </w:rPr>
      </w:pPr>
    </w:p>
    <w:p>
      <w:pPr>
        <w:spacing w:line="360" w:lineRule="auto"/>
        <w:ind w:firstLine="422" w:firstLineChars="200"/>
        <w:rPr>
          <w:rFonts w:ascii="宋体" w:hAnsi="宋体"/>
          <w:b/>
          <w:szCs w:val="21"/>
        </w:rPr>
      </w:pPr>
      <w:r>
        <w:rPr>
          <w:rFonts w:hint="eastAsia" w:ascii="宋体" w:hAnsi="宋体"/>
          <w:b/>
          <w:szCs w:val="21"/>
        </w:rPr>
        <w:t>8.技术服务和合同执行进度</w:t>
      </w:r>
    </w:p>
    <w:p>
      <w:pPr>
        <w:spacing w:line="360" w:lineRule="auto"/>
        <w:ind w:firstLine="420" w:firstLineChars="200"/>
        <w:rPr>
          <w:rFonts w:ascii="宋体" w:hAnsi="宋体"/>
          <w:szCs w:val="21"/>
        </w:rPr>
      </w:pPr>
      <w:r>
        <w:rPr>
          <w:rFonts w:ascii="宋体" w:hAnsi="宋体"/>
          <w:szCs w:val="21"/>
        </w:rPr>
        <w:t>8.1</w:t>
      </w:r>
      <w:r>
        <w:rPr>
          <w:rFonts w:hint="eastAsia" w:ascii="宋体" w:hAnsi="宋体"/>
          <w:szCs w:val="21"/>
        </w:rPr>
        <w:t xml:space="preserve"> 乙方应按甲方要求派出有资质的技术人员到甲方指定地点提供技术服务，配合工作。</w:t>
      </w:r>
    </w:p>
    <w:p>
      <w:pPr>
        <w:pStyle w:val="455"/>
        <w:numPr>
          <w:ilvl w:val="1"/>
          <w:numId w:val="6"/>
        </w:numPr>
        <w:spacing w:line="360" w:lineRule="auto"/>
        <w:ind w:firstLineChars="0"/>
        <w:rPr>
          <w:rFonts w:ascii="宋体" w:hAnsi="宋体"/>
          <w:szCs w:val="21"/>
        </w:rPr>
      </w:pPr>
      <w:r>
        <w:rPr>
          <w:rFonts w:hint="eastAsia" w:ascii="宋体" w:hAnsi="宋体"/>
        </w:rPr>
        <w:t>乙方应确保</w:t>
      </w:r>
      <w:r>
        <w:rPr>
          <w:rFonts w:hint="eastAsia" w:ascii="宋体" w:hAnsi="宋体"/>
          <w:szCs w:val="21"/>
        </w:rPr>
        <w:t>按</w:t>
      </w:r>
      <w:r>
        <w:rPr>
          <w:rFonts w:hint="eastAsia" w:ascii="宋体" w:hAnsi="宋体"/>
        </w:rPr>
        <w:t>甲方提出的其他合同执行进度计划（如有）有效、按期执行合同。</w:t>
      </w:r>
    </w:p>
    <w:p>
      <w:pPr>
        <w:spacing w:line="360" w:lineRule="auto"/>
        <w:ind w:left="420"/>
        <w:rPr>
          <w:rFonts w:ascii="宋体" w:hAnsi="宋体"/>
          <w:b/>
        </w:rPr>
      </w:pPr>
      <w:r>
        <w:rPr>
          <w:rFonts w:hint="eastAsia" w:ascii="宋体" w:hAnsi="宋体"/>
          <w:b/>
          <w:szCs w:val="21"/>
        </w:rPr>
        <w:t>9.不可抗力</w:t>
      </w:r>
    </w:p>
    <w:p>
      <w:pPr>
        <w:spacing w:line="360" w:lineRule="auto"/>
        <w:ind w:firstLine="420" w:firstLineChars="200"/>
        <w:rPr>
          <w:rFonts w:ascii="宋体" w:hAnsi="宋体"/>
          <w:szCs w:val="21"/>
        </w:rPr>
      </w:pPr>
      <w:r>
        <w:rPr>
          <w:rFonts w:ascii="宋体" w:hAnsi="宋体"/>
          <w:szCs w:val="21"/>
        </w:rPr>
        <w:t>9.1</w:t>
      </w:r>
      <w:r>
        <w:rPr>
          <w:rFonts w:hint="eastAsia" w:ascii="宋体" w:hAnsi="宋体"/>
          <w:szCs w:val="21"/>
        </w:rPr>
        <w:t>本合同所称不可抗力，是指本合同各方由于地震、台风、水灾、火灾、战争以及其他不能预见，并且对其发生和后果不能防止或不能避免且不可克服的客观情况。</w:t>
      </w:r>
    </w:p>
    <w:p>
      <w:pPr>
        <w:tabs>
          <w:tab w:val="left" w:pos="825"/>
        </w:tabs>
        <w:spacing w:line="360" w:lineRule="auto"/>
        <w:ind w:firstLine="420" w:firstLineChars="200"/>
        <w:rPr>
          <w:rFonts w:ascii="宋体" w:hAnsi="宋体"/>
          <w:szCs w:val="21"/>
        </w:rPr>
      </w:pPr>
      <w:r>
        <w:rPr>
          <w:rFonts w:hint="eastAsia" w:ascii="宋体" w:hAnsi="宋体"/>
          <w:szCs w:val="21"/>
        </w:rPr>
        <w:t>9.2 本合同任何一方因不可抗力不能履行或不能完全履行本合同的义务时，应及时书面通知本合同另一方，并在不可抗力发生之日起10日内向另一方提供由有关政府部门出具的不可抗力证明。</w:t>
      </w:r>
    </w:p>
    <w:p>
      <w:pPr>
        <w:tabs>
          <w:tab w:val="left" w:pos="825"/>
        </w:tabs>
        <w:spacing w:line="360" w:lineRule="auto"/>
        <w:ind w:firstLine="420" w:firstLineChars="200"/>
        <w:rPr>
          <w:rFonts w:ascii="宋体" w:hAnsi="宋体"/>
          <w:szCs w:val="21"/>
        </w:rPr>
      </w:pPr>
      <w:r>
        <w:rPr>
          <w:rFonts w:hint="eastAsia" w:ascii="宋体" w:hAnsi="宋体"/>
          <w:szCs w:val="21"/>
        </w:rPr>
        <w:t>9.3 因不可抗力不能履行合同的，根据不可抗力的影响，部分或全部免除责任，但法律另有规定的除外。迟延履行合同后发生不可抗力的，不能免除责任。</w:t>
      </w:r>
    </w:p>
    <w:p>
      <w:pPr>
        <w:pStyle w:val="455"/>
        <w:spacing w:line="360" w:lineRule="auto"/>
        <w:rPr>
          <w:rFonts w:ascii="宋体" w:hAnsi="宋体"/>
          <w:b/>
        </w:rPr>
      </w:pPr>
      <w:r>
        <w:rPr>
          <w:rFonts w:hint="eastAsia" w:ascii="宋体" w:hAnsi="宋体"/>
          <w:szCs w:val="21"/>
        </w:rPr>
        <w:t>9.4 如果因不可抗力的影响致使本合同中止履行10日或以上时，甲方有权决定是否继续履行或终止本合同，并书面通知乙方。</w:t>
      </w:r>
    </w:p>
    <w:p>
      <w:pPr>
        <w:tabs>
          <w:tab w:val="left" w:pos="825"/>
        </w:tabs>
        <w:spacing w:line="360" w:lineRule="auto"/>
        <w:ind w:firstLine="420" w:firstLineChars="200"/>
        <w:rPr>
          <w:rFonts w:ascii="宋体" w:hAnsi="宋体"/>
          <w:b/>
          <w:szCs w:val="21"/>
        </w:rPr>
      </w:pPr>
      <w:r>
        <w:rPr>
          <w:rFonts w:hint="eastAsia" w:ascii="宋体" w:hAnsi="宋体"/>
          <w:szCs w:val="21"/>
        </w:rPr>
        <w:t xml:space="preserve">10.  </w:t>
      </w:r>
      <w:r>
        <w:rPr>
          <w:rFonts w:hint="eastAsia" w:ascii="宋体" w:hAnsi="宋体"/>
          <w:b/>
          <w:szCs w:val="21"/>
        </w:rPr>
        <w:t>索赔</w:t>
      </w:r>
    </w:p>
    <w:p>
      <w:pPr>
        <w:spacing w:line="360" w:lineRule="auto"/>
        <w:ind w:firstLine="420" w:firstLineChars="200"/>
        <w:rPr>
          <w:rFonts w:ascii="宋体" w:hAnsi="宋体"/>
          <w:szCs w:val="21"/>
        </w:rPr>
      </w:pPr>
      <w:r>
        <w:rPr>
          <w:rFonts w:ascii="宋体" w:hAnsi="宋体"/>
          <w:szCs w:val="21"/>
        </w:rPr>
        <w:t>10.1</w:t>
      </w:r>
      <w:r>
        <w:rPr>
          <w:rFonts w:hint="eastAsia" w:ascii="宋体" w:hAnsi="宋体"/>
          <w:szCs w:val="21"/>
        </w:rPr>
        <w:t>乙方违反本合同约定的，甲方有权向乙方索赔，乙方应按照甲方同意的下列一种或多种方式解决索赔事宜，并应承担合同约定的其他违约责任：</w:t>
      </w:r>
    </w:p>
    <w:p>
      <w:pPr>
        <w:spacing w:line="360" w:lineRule="auto"/>
        <w:ind w:firstLine="420" w:firstLineChars="200"/>
        <w:rPr>
          <w:rFonts w:ascii="宋体" w:hAnsi="宋体"/>
          <w:szCs w:val="21"/>
        </w:rPr>
      </w:pPr>
      <w:r>
        <w:rPr>
          <w:rFonts w:hint="eastAsia" w:ascii="宋体" w:hAnsi="宋体"/>
          <w:szCs w:val="21"/>
        </w:rPr>
        <w:t>甲方要求退货，则乙方应在3日内按合同规定的同种货币将货款全额退还甲方，并将货物搬离甲方场所，由此发生的一切损失和费用由乙方承担。</w:t>
      </w:r>
    </w:p>
    <w:p>
      <w:pPr>
        <w:spacing w:line="360" w:lineRule="auto"/>
        <w:ind w:firstLine="420" w:firstLineChars="200"/>
        <w:rPr>
          <w:rFonts w:ascii="宋体" w:hAnsi="宋体"/>
          <w:szCs w:val="21"/>
        </w:rPr>
      </w:pPr>
      <w:r>
        <w:rPr>
          <w:rFonts w:hint="eastAsia" w:ascii="宋体" w:hAnsi="宋体"/>
          <w:szCs w:val="21"/>
        </w:rPr>
        <w:t>甲方不要求退货，则根据货物低劣程度、损坏程度以及甲方所遭受损失的数额，甲乙双方商定降低货物的价格。</w:t>
      </w:r>
    </w:p>
    <w:p>
      <w:pPr>
        <w:spacing w:line="360" w:lineRule="auto"/>
        <w:ind w:firstLine="420" w:firstLineChars="200"/>
        <w:rPr>
          <w:rFonts w:ascii="宋体" w:hAnsi="宋体"/>
          <w:szCs w:val="21"/>
        </w:rPr>
      </w:pPr>
      <w:r>
        <w:rPr>
          <w:rFonts w:hint="eastAsia" w:ascii="宋体" w:hAnsi="宋体"/>
          <w:szCs w:val="21"/>
        </w:rPr>
        <w:t>甲方不要求退货，要求用符合规格、质量和性能要求的新零件、部件或货物来更换有缺陷的部分或修补缺陷的部分，乙方应满足甲方要求并承担一切费用和风险。同时，相应延长质量保证期。</w:t>
      </w:r>
    </w:p>
    <w:p>
      <w:pPr>
        <w:spacing w:line="360" w:lineRule="auto"/>
        <w:ind w:firstLine="420" w:firstLineChars="200"/>
        <w:rPr>
          <w:rFonts w:ascii="宋体" w:hAnsi="宋体"/>
          <w:szCs w:val="21"/>
        </w:rPr>
      </w:pPr>
      <w:r>
        <w:rPr>
          <w:rFonts w:ascii="宋体" w:hAnsi="宋体"/>
          <w:szCs w:val="21"/>
        </w:rPr>
        <w:t>10.2</w:t>
      </w:r>
      <w:r>
        <w:rPr>
          <w:rFonts w:hint="eastAsia" w:ascii="宋体" w:hAnsi="宋体"/>
          <w:szCs w:val="21"/>
        </w:rPr>
        <w:t>本合同项下的索赔金额、违约金额等，甲方均有权直接从合同款项中扣除，甲方有权向乙方提出不足部分的赔偿。</w:t>
      </w:r>
    </w:p>
    <w:p>
      <w:pPr>
        <w:tabs>
          <w:tab w:val="left" w:pos="825"/>
        </w:tabs>
        <w:spacing w:line="360" w:lineRule="auto"/>
        <w:ind w:firstLine="422" w:firstLineChars="200"/>
        <w:rPr>
          <w:rFonts w:ascii="宋体" w:hAnsi="宋体"/>
          <w:b/>
          <w:szCs w:val="21"/>
        </w:rPr>
      </w:pPr>
      <w:r>
        <w:rPr>
          <w:rFonts w:ascii="宋体" w:hAnsi="宋体"/>
          <w:b/>
          <w:szCs w:val="21"/>
        </w:rPr>
        <w:t xml:space="preserve">11.  </w:t>
      </w:r>
      <w:r>
        <w:rPr>
          <w:rFonts w:hint="eastAsia" w:ascii="宋体" w:hAnsi="宋体"/>
          <w:b/>
          <w:szCs w:val="21"/>
        </w:rPr>
        <w:t>违约责任</w:t>
      </w:r>
    </w:p>
    <w:p>
      <w:pPr>
        <w:tabs>
          <w:tab w:val="left" w:pos="825"/>
        </w:tabs>
        <w:spacing w:line="360" w:lineRule="auto"/>
        <w:ind w:firstLine="420" w:firstLineChars="200"/>
        <w:rPr>
          <w:rFonts w:ascii="宋体" w:hAnsi="宋体"/>
          <w:szCs w:val="21"/>
        </w:rPr>
      </w:pPr>
      <w:r>
        <w:rPr>
          <w:rFonts w:ascii="宋体" w:hAnsi="宋体"/>
          <w:szCs w:val="21"/>
        </w:rPr>
        <w:t>11.1</w:t>
      </w:r>
      <w:r>
        <w:rPr>
          <w:rFonts w:hint="eastAsia" w:ascii="宋体" w:hAnsi="宋体"/>
          <w:szCs w:val="21"/>
        </w:rPr>
        <w:t>甲方应依合同规定时间内，安排收货，为乙方向福田区财政支付部门申请支付货款。在无乙方不履行或不适当履行合同义务的情况下，甲方无正当理由拒收货物或拒不申请货款的，应按合同总价的</w:t>
      </w:r>
      <w:r>
        <w:rPr>
          <w:rFonts w:ascii="宋体" w:hAnsi="宋体"/>
          <w:szCs w:val="21"/>
        </w:rPr>
        <w:t>5‰支付违约金。</w:t>
      </w:r>
    </w:p>
    <w:p>
      <w:pPr>
        <w:tabs>
          <w:tab w:val="left" w:pos="825"/>
        </w:tabs>
        <w:spacing w:line="360" w:lineRule="auto"/>
        <w:ind w:firstLine="420" w:firstLineChars="200"/>
        <w:rPr>
          <w:rFonts w:ascii="宋体" w:hAnsi="宋体"/>
          <w:szCs w:val="21"/>
        </w:rPr>
      </w:pPr>
      <w:r>
        <w:rPr>
          <w:rFonts w:ascii="宋体" w:hAnsi="宋体"/>
          <w:szCs w:val="21"/>
        </w:rPr>
        <w:t>11.2乙方交付的货物不符合合同规定的，甲方有权拒收，乙方向甲方支付合同总价5%</w:t>
      </w:r>
      <w:r>
        <w:rPr>
          <w:rFonts w:hint="eastAsia" w:ascii="宋体" w:hAnsi="宋体"/>
          <w:szCs w:val="21"/>
        </w:rPr>
        <w:t>的违约金。违约金不足以弥补给甲方造成的损失的，还应继续承担损失的赔偿责任。</w:t>
      </w:r>
    </w:p>
    <w:p>
      <w:pPr>
        <w:tabs>
          <w:tab w:val="left" w:pos="780"/>
        </w:tabs>
        <w:spacing w:line="360" w:lineRule="auto"/>
        <w:ind w:firstLine="420" w:firstLineChars="200"/>
        <w:rPr>
          <w:rFonts w:ascii="宋体" w:hAnsi="宋体"/>
          <w:szCs w:val="21"/>
        </w:rPr>
      </w:pPr>
      <w:r>
        <w:rPr>
          <w:rFonts w:hint="eastAsia" w:ascii="宋体" w:hAnsi="宋体"/>
          <w:szCs w:val="21"/>
        </w:rPr>
        <w:t>11.3验收发现问题的，换货相关费用由乙方承担，同时</w:t>
      </w:r>
      <w:r>
        <w:rPr>
          <w:rFonts w:ascii="宋体" w:hAnsi="宋体"/>
          <w:szCs w:val="21"/>
        </w:rPr>
        <w:t>向甲方支付合同总价5%</w:t>
      </w:r>
      <w:r>
        <w:rPr>
          <w:rFonts w:hint="eastAsia" w:ascii="宋体" w:hAnsi="宋体"/>
          <w:szCs w:val="21"/>
        </w:rPr>
        <w:t>的违约金。</w:t>
      </w:r>
    </w:p>
    <w:p>
      <w:pPr>
        <w:tabs>
          <w:tab w:val="left" w:pos="825"/>
        </w:tabs>
        <w:spacing w:line="360" w:lineRule="auto"/>
        <w:ind w:firstLine="420" w:firstLineChars="200"/>
        <w:rPr>
          <w:rFonts w:ascii="宋体" w:hAnsi="宋体"/>
          <w:szCs w:val="21"/>
        </w:rPr>
      </w:pPr>
      <w:r>
        <w:rPr>
          <w:rFonts w:hint="eastAsia" w:ascii="宋体" w:hAnsi="宋体"/>
          <w:szCs w:val="21"/>
        </w:rPr>
        <w:t>11.4如甲方使用过程中发现乙方提供的产品，使用时无法满足招标文件的星号（★）条款要求，甲方可随时退货并要求全额退还货款，并根据赔偿条款要求乙方赔偿；发现乙方提供的设备功能与投标文件不符，或者发现虚假应标情况的，甲方有权选择退货或不予支付未付货款，同时要求乙方</w:t>
      </w:r>
      <w:r>
        <w:rPr>
          <w:rFonts w:ascii="宋体" w:hAnsi="宋体"/>
          <w:szCs w:val="21"/>
        </w:rPr>
        <w:t>支付合同总价5%</w:t>
      </w:r>
      <w:r>
        <w:rPr>
          <w:rFonts w:hint="eastAsia" w:ascii="宋体" w:hAnsi="宋体"/>
          <w:szCs w:val="21"/>
        </w:rPr>
        <w:t>的违约金。</w:t>
      </w:r>
    </w:p>
    <w:p>
      <w:pPr>
        <w:tabs>
          <w:tab w:val="left" w:pos="825"/>
        </w:tabs>
        <w:spacing w:line="360" w:lineRule="auto"/>
        <w:ind w:firstLine="420" w:firstLineChars="200"/>
        <w:rPr>
          <w:rFonts w:ascii="宋体" w:hAnsi="宋体"/>
          <w:szCs w:val="21"/>
        </w:rPr>
      </w:pPr>
      <w:r>
        <w:rPr>
          <w:rFonts w:ascii="宋体" w:hAnsi="宋体"/>
          <w:szCs w:val="21"/>
        </w:rPr>
        <w:t>11.</w:t>
      </w:r>
      <w:r>
        <w:rPr>
          <w:rFonts w:hint="eastAsia" w:ascii="宋体" w:hAnsi="宋体"/>
          <w:szCs w:val="21"/>
        </w:rPr>
        <w:t>5乙方逾期交货，或逾期完成安装调试，或货物逾期通过验收的，乙方均应支付逾期违约金，每日按合同总价的5‰计算；逾期超过30日的，乙方需向甲方另行支付合同总价的10%的违约金，且甲方有权单方解除本合同，乙方于收到甲方发出的解除通知书后3日内无条件退回甲方已支付的全部款项。此条款可以与</w:t>
      </w:r>
      <w:r>
        <w:rPr>
          <w:rFonts w:ascii="宋体" w:hAnsi="宋体"/>
          <w:szCs w:val="21"/>
        </w:rPr>
        <w:t>11.</w:t>
      </w:r>
      <w:r>
        <w:rPr>
          <w:rFonts w:hint="eastAsia" w:ascii="宋体" w:hAnsi="宋体"/>
          <w:szCs w:val="21"/>
        </w:rPr>
        <w:t>2、11.3、11.4条同时执行。</w:t>
      </w:r>
    </w:p>
    <w:p>
      <w:pPr>
        <w:tabs>
          <w:tab w:val="left" w:pos="825"/>
        </w:tabs>
        <w:spacing w:line="360" w:lineRule="auto"/>
        <w:ind w:firstLine="420" w:firstLineChars="200"/>
        <w:rPr>
          <w:rFonts w:ascii="宋体" w:hAnsi="宋体"/>
          <w:szCs w:val="21"/>
        </w:rPr>
      </w:pPr>
      <w:r>
        <w:rPr>
          <w:rFonts w:hint="eastAsia" w:ascii="宋体" w:hAnsi="宋体"/>
          <w:szCs w:val="21"/>
        </w:rPr>
        <w:t>11.6未经甲方书面同意，乙方不得将本合同项下全部或部分权利、义务转让给任何第三方，否则甲方有权单方解除本合同，乙方应按合同总价的20%向甲方支付违约金。</w:t>
      </w:r>
    </w:p>
    <w:p>
      <w:pPr>
        <w:tabs>
          <w:tab w:val="left" w:pos="825"/>
        </w:tabs>
        <w:spacing w:line="360" w:lineRule="auto"/>
        <w:ind w:firstLine="420" w:firstLineChars="200"/>
        <w:rPr>
          <w:rFonts w:ascii="宋体" w:hAnsi="宋体"/>
          <w:szCs w:val="21"/>
        </w:rPr>
      </w:pPr>
      <w:r>
        <w:rPr>
          <w:rFonts w:hint="eastAsia" w:ascii="宋体" w:hAnsi="宋体"/>
          <w:szCs w:val="21"/>
        </w:rPr>
        <w:t>11.7乙方违反本合同约定的售后服务条款，不履行保修、维修义务或履行内容不符合合同约定的，达3次或以上的，除承担上述约定的违约责任外，甲方有权要求乙方支付本合同总价的10%作为违约金。</w:t>
      </w:r>
    </w:p>
    <w:p>
      <w:pPr>
        <w:tabs>
          <w:tab w:val="left" w:pos="825"/>
        </w:tabs>
        <w:spacing w:line="360" w:lineRule="auto"/>
        <w:ind w:firstLine="422" w:firstLineChars="200"/>
        <w:rPr>
          <w:rFonts w:ascii="宋体" w:hAnsi="宋体"/>
          <w:b/>
          <w:szCs w:val="21"/>
        </w:rPr>
      </w:pPr>
      <w:r>
        <w:rPr>
          <w:rFonts w:ascii="宋体" w:hAnsi="宋体"/>
          <w:b/>
          <w:szCs w:val="21"/>
        </w:rPr>
        <w:t xml:space="preserve">12.  </w:t>
      </w:r>
      <w:r>
        <w:rPr>
          <w:rFonts w:hint="eastAsia" w:ascii="宋体" w:hAnsi="宋体"/>
          <w:b/>
          <w:szCs w:val="21"/>
        </w:rPr>
        <w:t>合同生效、解除和终止</w:t>
      </w:r>
    </w:p>
    <w:p>
      <w:pPr>
        <w:tabs>
          <w:tab w:val="left" w:pos="825"/>
        </w:tabs>
        <w:spacing w:line="360" w:lineRule="auto"/>
        <w:ind w:firstLine="420" w:firstLineChars="200"/>
        <w:rPr>
          <w:rFonts w:ascii="宋体" w:hAnsi="宋体"/>
          <w:szCs w:val="21"/>
        </w:rPr>
      </w:pPr>
      <w:r>
        <w:rPr>
          <w:rFonts w:hint="eastAsia" w:ascii="宋体" w:hAnsi="宋体"/>
          <w:szCs w:val="21"/>
        </w:rPr>
        <w:t>本合同自双方法定代表人签字并加盖双方公章或合同专用章之日起生效。本合同书连</w:t>
      </w:r>
      <w:r>
        <w:rPr>
          <w:rFonts w:hint="eastAsia" w:ascii="宋体" w:hAnsi="宋体"/>
          <w:szCs w:val="21"/>
          <w:highlight w:val="yellow"/>
        </w:rPr>
        <w:t>同附件八个，共页</w:t>
      </w:r>
      <w:r>
        <w:rPr>
          <w:rFonts w:hint="eastAsia" w:ascii="宋体" w:hAnsi="宋体"/>
          <w:szCs w:val="21"/>
        </w:rPr>
        <w:t>，一式伍份。</w:t>
      </w:r>
    </w:p>
    <w:p>
      <w:pPr>
        <w:tabs>
          <w:tab w:val="left" w:pos="825"/>
        </w:tabs>
        <w:spacing w:line="360" w:lineRule="auto"/>
        <w:ind w:firstLine="422" w:firstLineChars="200"/>
        <w:rPr>
          <w:rFonts w:ascii="宋体" w:hAnsi="宋体"/>
          <w:b/>
          <w:szCs w:val="21"/>
        </w:rPr>
      </w:pPr>
      <w:r>
        <w:rPr>
          <w:rFonts w:ascii="宋体" w:hAnsi="宋体"/>
          <w:b/>
          <w:szCs w:val="21"/>
        </w:rPr>
        <w:t xml:space="preserve">13.  </w:t>
      </w:r>
      <w:r>
        <w:rPr>
          <w:rFonts w:hint="eastAsia" w:ascii="宋体" w:hAnsi="宋体"/>
          <w:b/>
          <w:szCs w:val="21"/>
        </w:rPr>
        <w:t>争议的解决</w:t>
      </w:r>
    </w:p>
    <w:p>
      <w:pPr>
        <w:tabs>
          <w:tab w:val="left" w:pos="825"/>
        </w:tabs>
        <w:spacing w:line="360" w:lineRule="auto"/>
        <w:ind w:firstLine="420" w:firstLineChars="200"/>
        <w:rPr>
          <w:rFonts w:ascii="宋体" w:hAnsi="宋体"/>
          <w:b/>
        </w:rPr>
      </w:pPr>
      <w:r>
        <w:rPr>
          <w:rFonts w:hint="eastAsia" w:ascii="宋体" w:hAnsi="宋体"/>
          <w:szCs w:val="21"/>
        </w:rPr>
        <w:t>因设备的质量问题发生争议，由政府指定的技术单位进行质量鉴定，该鉴定结论是终局的，甲乙双方应当接受。签约双方在履约中发生争执和分歧，双方应通过友好协商解决，若经协商不能达成一致时，任一方可向甲方所在地的人民法院提起诉讼。受理期间，争议事项的解决，不影响合同其余部分的履行。</w:t>
      </w:r>
    </w:p>
    <w:p>
      <w:pPr>
        <w:spacing w:line="360" w:lineRule="auto"/>
        <w:ind w:left="420"/>
        <w:rPr>
          <w:rFonts w:ascii="宋体" w:hAnsi="宋体"/>
          <w:b/>
        </w:rPr>
      </w:pPr>
      <w:r>
        <w:rPr>
          <w:rFonts w:hint="eastAsia" w:ascii="宋体" w:hAnsi="宋体"/>
          <w:b/>
          <w:szCs w:val="21"/>
        </w:rPr>
        <w:t>14.  其他</w:t>
      </w:r>
    </w:p>
    <w:p>
      <w:pPr>
        <w:spacing w:line="360" w:lineRule="auto"/>
        <w:ind w:firstLine="420" w:firstLineChars="200"/>
        <w:rPr>
          <w:rFonts w:ascii="宋体" w:hAnsi="宋体"/>
          <w:szCs w:val="21"/>
        </w:rPr>
      </w:pPr>
      <w:r>
        <w:rPr>
          <w:rFonts w:ascii="宋体" w:hAnsi="宋体"/>
          <w:szCs w:val="21"/>
        </w:rPr>
        <w:t>14.1</w:t>
      </w:r>
      <w:r>
        <w:rPr>
          <w:rFonts w:hint="eastAsia" w:ascii="宋体" w:hAnsi="宋体"/>
          <w:szCs w:val="21"/>
        </w:rPr>
        <w:t>乙方履行本合同的指定联系人及授权代表为</w:t>
      </w:r>
      <w:r>
        <w:rPr>
          <w:rFonts w:hint="eastAsia" w:ascii="宋体" w:hAnsi="宋体"/>
          <w:szCs w:val="21"/>
          <w:highlight w:val="yellow"/>
        </w:rPr>
        <w:t>【         】；职务【    】；联系电话【          】；电子邮箱【          】。</w:t>
      </w:r>
      <w:r>
        <w:rPr>
          <w:rFonts w:hint="eastAsia" w:ascii="宋体" w:hAnsi="宋体"/>
          <w:szCs w:val="21"/>
        </w:rPr>
        <w:t>在履行合同过程中，该指定联系人及授权代表的行为、意思表示及对甲方所作的任何承诺、通知等，都对乙方直接具有约束力；甲方通知送达该联系人及授权代表时，即视为通知送达乙方。</w:t>
      </w:r>
    </w:p>
    <w:p>
      <w:pPr>
        <w:spacing w:line="360" w:lineRule="auto"/>
        <w:ind w:firstLine="420" w:firstLineChars="200"/>
        <w:rPr>
          <w:rFonts w:ascii="宋体" w:hAnsi="宋体"/>
          <w:szCs w:val="21"/>
        </w:rPr>
      </w:pPr>
      <w:r>
        <w:rPr>
          <w:rFonts w:hint="eastAsia" w:ascii="宋体" w:hAnsi="宋体"/>
          <w:szCs w:val="21"/>
        </w:rPr>
        <w:t>14.2 乙方的指定联系人、授权代表的信息发生变化的，或乙方联系地址、电话等发生变化的，应提前5个工作日书面通知到甲方。否则相关送达的不利后果及责任，由乙方自行承担。</w:t>
      </w:r>
    </w:p>
    <w:p>
      <w:pPr>
        <w:spacing w:line="360" w:lineRule="auto"/>
        <w:ind w:firstLine="420" w:firstLineChars="200"/>
        <w:rPr>
          <w:rFonts w:ascii="宋体" w:hAnsi="宋体"/>
          <w:szCs w:val="21"/>
        </w:rPr>
      </w:pPr>
      <w:r>
        <w:rPr>
          <w:rFonts w:hint="eastAsia" w:ascii="宋体" w:hAnsi="宋体"/>
          <w:szCs w:val="21"/>
        </w:rPr>
        <w:t>14.3 本合同一式伍份，具有同等法律效力，甲方执肆份、乙方执壹份。合同自双方签字盖章之日起即时生效。</w:t>
      </w:r>
    </w:p>
    <w:p>
      <w:pPr>
        <w:tabs>
          <w:tab w:val="left" w:pos="945"/>
        </w:tabs>
        <w:spacing w:line="360" w:lineRule="auto"/>
        <w:ind w:firstLine="420" w:firstLineChars="200"/>
        <w:rPr>
          <w:rFonts w:ascii="宋体" w:hAnsi="宋体"/>
          <w:szCs w:val="21"/>
        </w:rPr>
      </w:pPr>
      <w:r>
        <w:rPr>
          <w:rFonts w:ascii="宋体" w:hAnsi="宋体"/>
          <w:szCs w:val="21"/>
        </w:rPr>
        <w:t>14.</w:t>
      </w:r>
      <w:r>
        <w:rPr>
          <w:rFonts w:hint="eastAsia" w:ascii="宋体" w:hAnsi="宋体"/>
          <w:szCs w:val="21"/>
        </w:rPr>
        <w:t>4 本合同未尽事宜，由双方协商处理，经协商一致可签订补充协议。</w:t>
      </w:r>
    </w:p>
    <w:p>
      <w:pPr>
        <w:tabs>
          <w:tab w:val="left" w:pos="993"/>
        </w:tabs>
        <w:spacing w:line="360" w:lineRule="auto"/>
        <w:ind w:firstLine="420" w:firstLineChars="200"/>
        <w:rPr>
          <w:rFonts w:ascii="宋体" w:hAnsi="宋体"/>
          <w:szCs w:val="21"/>
        </w:rPr>
      </w:pPr>
      <w:r>
        <w:rPr>
          <w:rFonts w:hint="eastAsia" w:ascii="宋体" w:hAnsi="宋体"/>
          <w:szCs w:val="21"/>
        </w:rPr>
        <w:t>14.5 甲方双方共同遵守国家的法律和规定，乙方应全力配合完成政府审计工作。在委托、代理业务过程中不得行贿、受贿、索贿，违反者将按照国家法律、法规、规章等各自承担相应法律责任。</w:t>
      </w:r>
    </w:p>
    <w:p>
      <w:pPr>
        <w:tabs>
          <w:tab w:val="left" w:pos="945"/>
        </w:tabs>
        <w:spacing w:line="360" w:lineRule="auto"/>
        <w:ind w:firstLine="420" w:firstLineChars="200"/>
        <w:rPr>
          <w:rFonts w:ascii="宋体" w:hAnsi="宋体"/>
          <w:b/>
          <w:szCs w:val="21"/>
        </w:rPr>
      </w:pPr>
      <w:r>
        <w:rPr>
          <w:rFonts w:hint="eastAsia" w:ascii="宋体" w:hAnsi="宋体"/>
          <w:szCs w:val="21"/>
        </w:rPr>
        <w:t>14.6 乙方承诺不从事商业贿赂行为。一旦被列入商业贿赂不良记录，则甲方有权立即单方解除本合同，乙方应承担违约责任。</w:t>
      </w:r>
    </w:p>
    <w:p>
      <w:pPr>
        <w:tabs>
          <w:tab w:val="left" w:pos="945"/>
        </w:tabs>
        <w:spacing w:line="360" w:lineRule="auto"/>
        <w:ind w:firstLine="420" w:firstLineChars="200"/>
        <w:rPr>
          <w:rFonts w:ascii="宋体" w:hAnsi="宋体"/>
          <w:szCs w:val="21"/>
        </w:rPr>
      </w:pPr>
      <w:r>
        <w:rPr>
          <w:rFonts w:hint="eastAsia" w:ascii="宋体" w:hAnsi="宋体"/>
          <w:szCs w:val="21"/>
        </w:rPr>
        <w:t>14.7如有设备相关耗材、试剂或易损器械，设备及主要维修配件，请提供并分别列出它们的优惠价格。</w:t>
      </w:r>
    </w:p>
    <w:p>
      <w:pPr>
        <w:tabs>
          <w:tab w:val="left" w:pos="945"/>
        </w:tabs>
        <w:spacing w:line="360" w:lineRule="auto"/>
        <w:ind w:firstLine="420" w:firstLineChars="200"/>
        <w:rPr>
          <w:rFonts w:ascii="宋体" w:hAnsi="宋体"/>
          <w:szCs w:val="21"/>
        </w:rPr>
      </w:pPr>
      <w:r>
        <w:rPr>
          <w:rFonts w:hint="eastAsia" w:ascii="宋体" w:hAnsi="宋体"/>
          <w:szCs w:val="21"/>
        </w:rPr>
        <w:t>14.8乙方必须提供由设备生产原厂签署承诺的合法、有效的保修、维修证明（售后服务承诺函，盖厂家公章），厂家签署承诺的保修期应与投标供应商承诺的保修期一致；必须由原厂工程师及技术人员直接提供保修、维修、免费技术培训服务。</w:t>
      </w:r>
    </w:p>
    <w:p>
      <w:pPr>
        <w:tabs>
          <w:tab w:val="left" w:pos="945"/>
        </w:tabs>
        <w:spacing w:line="360" w:lineRule="auto"/>
        <w:ind w:firstLine="420" w:firstLineChars="200"/>
        <w:rPr>
          <w:rFonts w:ascii="宋体" w:hAnsi="宋体"/>
          <w:szCs w:val="21"/>
        </w:rPr>
      </w:pPr>
      <w:r>
        <w:rPr>
          <w:rFonts w:hint="eastAsia" w:ascii="宋体" w:hAnsi="宋体"/>
          <w:szCs w:val="21"/>
        </w:rPr>
        <w:t>14.9本合同附件</w:t>
      </w:r>
    </w:p>
    <w:p>
      <w:pPr>
        <w:pStyle w:val="26"/>
        <w:spacing w:line="360" w:lineRule="auto"/>
        <w:ind w:firstLine="420" w:firstLineChars="200"/>
        <w:jc w:val="left"/>
        <w:rPr>
          <w:rFonts w:hAnsi="宋体"/>
        </w:rPr>
      </w:pPr>
      <w:r>
        <w:rPr>
          <w:rFonts w:hAnsi="宋体"/>
        </w:rPr>
        <w:t>1</w:t>
      </w:r>
      <w:r>
        <w:rPr>
          <w:rFonts w:hint="eastAsia" w:hAnsi="宋体"/>
        </w:rPr>
        <w:t>.配置清单；</w:t>
      </w:r>
    </w:p>
    <w:p>
      <w:pPr>
        <w:pStyle w:val="26"/>
        <w:spacing w:line="360" w:lineRule="auto"/>
        <w:ind w:firstLine="420" w:firstLineChars="200"/>
        <w:jc w:val="left"/>
        <w:rPr>
          <w:rFonts w:hAnsi="宋体"/>
        </w:rPr>
      </w:pPr>
      <w:r>
        <w:rPr>
          <w:rFonts w:hint="eastAsia" w:hAnsi="宋体"/>
        </w:rPr>
        <w:t>2</w:t>
      </w:r>
      <w:r>
        <w:rPr>
          <w:rFonts w:hAnsi="宋体"/>
        </w:rPr>
        <w:t>.</w:t>
      </w:r>
      <w:r>
        <w:rPr>
          <w:rFonts w:hint="eastAsia" w:hAnsi="宋体"/>
        </w:rPr>
        <w:t>原厂售后服务承诺；</w:t>
      </w:r>
    </w:p>
    <w:p>
      <w:pPr>
        <w:pStyle w:val="26"/>
        <w:spacing w:line="360" w:lineRule="auto"/>
        <w:ind w:firstLine="420" w:firstLineChars="200"/>
        <w:jc w:val="left"/>
        <w:rPr>
          <w:rFonts w:hAnsi="宋体"/>
        </w:rPr>
      </w:pPr>
      <w:r>
        <w:rPr>
          <w:rFonts w:hint="eastAsia" w:hAnsi="宋体"/>
        </w:rPr>
        <w:t>3</w:t>
      </w:r>
      <w:r>
        <w:rPr>
          <w:rFonts w:hAnsi="宋体"/>
        </w:rPr>
        <w:t>.</w:t>
      </w:r>
      <w:r>
        <w:rPr>
          <w:rFonts w:hint="eastAsia" w:hAnsi="宋体"/>
        </w:rPr>
        <w:t>每年二次的维护计划；</w:t>
      </w:r>
    </w:p>
    <w:p>
      <w:pPr>
        <w:pStyle w:val="26"/>
        <w:spacing w:line="360" w:lineRule="auto"/>
        <w:ind w:firstLine="420" w:firstLineChars="200"/>
        <w:jc w:val="left"/>
        <w:rPr>
          <w:rFonts w:hAnsi="宋体"/>
        </w:rPr>
      </w:pPr>
      <w:r>
        <w:rPr>
          <w:rFonts w:hint="eastAsia" w:hAnsi="宋体"/>
        </w:rPr>
        <w:t>4</w:t>
      </w:r>
      <w:r>
        <w:rPr>
          <w:rFonts w:hAnsi="宋体"/>
        </w:rPr>
        <w:t>.</w:t>
      </w:r>
      <w:r>
        <w:rPr>
          <w:rFonts w:hint="eastAsia" w:hAnsi="宋体"/>
        </w:rPr>
        <w:t xml:space="preserve">应急措施和应急方案； </w:t>
      </w:r>
    </w:p>
    <w:p>
      <w:pPr>
        <w:pStyle w:val="26"/>
        <w:spacing w:line="360" w:lineRule="auto"/>
        <w:ind w:firstLine="420" w:firstLineChars="200"/>
        <w:jc w:val="left"/>
        <w:rPr>
          <w:rFonts w:hAnsi="宋体"/>
        </w:rPr>
      </w:pPr>
      <w:r>
        <w:rPr>
          <w:rFonts w:hint="eastAsia" w:hAnsi="宋体"/>
        </w:rPr>
        <w:t>5</w:t>
      </w:r>
      <w:r>
        <w:rPr>
          <w:rFonts w:hAnsi="宋体"/>
        </w:rPr>
        <w:t>.</w:t>
      </w:r>
      <w:r>
        <w:rPr>
          <w:rFonts w:hint="eastAsia" w:hAnsi="宋体"/>
        </w:rPr>
        <w:t>技术偏离表/技术参数、</w:t>
      </w:r>
      <w:r>
        <w:rPr>
          <w:rFonts w:hint="eastAsia" w:hAnsi="宋体"/>
          <w:color w:val="FF0000"/>
        </w:rPr>
        <w:t>含技术参数的产品彩页</w:t>
      </w:r>
    </w:p>
    <w:p>
      <w:pPr>
        <w:pStyle w:val="26"/>
        <w:spacing w:line="360" w:lineRule="auto"/>
        <w:ind w:firstLine="420" w:firstLineChars="200"/>
        <w:jc w:val="left"/>
        <w:rPr>
          <w:rFonts w:hAnsi="宋体"/>
        </w:rPr>
      </w:pPr>
      <w:r>
        <w:rPr>
          <w:rFonts w:hint="eastAsia" w:hAnsi="宋体"/>
        </w:rPr>
        <w:t>6. 三证：营业执照、医疗器械生产/经营许可证、医疗器械注册/备案证</w:t>
      </w:r>
    </w:p>
    <w:p>
      <w:pPr>
        <w:pStyle w:val="26"/>
        <w:spacing w:line="360" w:lineRule="auto"/>
        <w:ind w:firstLine="420" w:firstLineChars="200"/>
        <w:jc w:val="left"/>
        <w:rPr>
          <w:rFonts w:hAnsi="宋体"/>
        </w:rPr>
      </w:pPr>
      <w:r>
        <w:rPr>
          <w:rFonts w:hint="eastAsia" w:hAnsi="宋体"/>
        </w:rPr>
        <w:t>7. 中标通知书</w:t>
      </w:r>
    </w:p>
    <w:p>
      <w:pPr>
        <w:pStyle w:val="26"/>
        <w:spacing w:line="360" w:lineRule="auto"/>
        <w:ind w:firstLine="420" w:firstLineChars="200"/>
        <w:jc w:val="left"/>
        <w:rPr>
          <w:rFonts w:hAnsi="宋体"/>
        </w:rPr>
      </w:pPr>
      <w:r>
        <w:rPr>
          <w:rFonts w:hint="eastAsia" w:hAnsi="宋体"/>
        </w:rPr>
        <w:t>8. 廉洁协议</w:t>
      </w:r>
    </w:p>
    <w:p>
      <w:pPr>
        <w:widowControl/>
        <w:spacing w:line="360" w:lineRule="auto"/>
        <w:jc w:val="left"/>
        <w:rPr>
          <w:rFonts w:ascii="宋体" w:hAnsi="宋体"/>
          <w:szCs w:val="21"/>
        </w:rPr>
      </w:pPr>
    </w:p>
    <w:p>
      <w:pPr>
        <w:pStyle w:val="83"/>
        <w:ind w:firstLine="0" w:firstLineChars="0"/>
        <w:jc w:val="left"/>
        <w:rPr>
          <w:rFonts w:ascii="宋体" w:hAnsi="宋体"/>
          <w:color w:val="000000"/>
          <w:sz w:val="21"/>
          <w:szCs w:val="21"/>
        </w:rPr>
      </w:pPr>
      <w:r>
        <w:rPr>
          <w:rFonts w:hint="eastAsia" w:ascii="宋体" w:hAnsi="宋体"/>
          <w:color w:val="000000"/>
          <w:sz w:val="21"/>
          <w:szCs w:val="21"/>
        </w:rPr>
        <w:t>甲方：中山大学附属第八医院（深圳福田）           乙方：</w:t>
      </w:r>
    </w:p>
    <w:p>
      <w:pPr>
        <w:pStyle w:val="83"/>
        <w:ind w:firstLine="0" w:firstLineChars="0"/>
        <w:jc w:val="left"/>
        <w:rPr>
          <w:rFonts w:ascii="宋体" w:hAnsi="宋体"/>
          <w:color w:val="000000"/>
          <w:sz w:val="21"/>
          <w:szCs w:val="21"/>
        </w:rPr>
      </w:pPr>
      <w:r>
        <w:rPr>
          <w:rFonts w:hint="eastAsia" w:ascii="宋体" w:hAnsi="宋体"/>
          <w:color w:val="000000"/>
          <w:sz w:val="21"/>
          <w:szCs w:val="21"/>
        </w:rPr>
        <w:t>地址：深圳市福田区福田街道深南中路</w:t>
      </w:r>
      <w:r>
        <w:rPr>
          <w:rFonts w:ascii="宋体" w:hAnsi="宋体"/>
          <w:color w:val="000000"/>
          <w:sz w:val="21"/>
          <w:szCs w:val="21"/>
        </w:rPr>
        <w:t>3025</w:t>
      </w:r>
      <w:r>
        <w:rPr>
          <w:rFonts w:hint="eastAsia" w:ascii="宋体" w:hAnsi="宋体"/>
          <w:color w:val="000000"/>
          <w:sz w:val="21"/>
          <w:szCs w:val="21"/>
        </w:rPr>
        <w:t>号        地址：</w:t>
      </w:r>
    </w:p>
    <w:p>
      <w:pPr>
        <w:pStyle w:val="83"/>
        <w:ind w:firstLine="0" w:firstLineChars="0"/>
        <w:jc w:val="left"/>
        <w:rPr>
          <w:rFonts w:ascii="宋体" w:hAnsi="宋体"/>
          <w:color w:val="000000"/>
          <w:sz w:val="21"/>
          <w:szCs w:val="21"/>
        </w:rPr>
      </w:pPr>
      <w:r>
        <w:rPr>
          <w:rFonts w:hint="eastAsia" w:ascii="宋体" w:hAnsi="宋体"/>
          <w:color w:val="000000"/>
          <w:sz w:val="21"/>
          <w:szCs w:val="21"/>
        </w:rPr>
        <w:t xml:space="preserve">法定代表人：                                     法定代表人：（不可打印，必须签字或者签章）  </w:t>
      </w:r>
    </w:p>
    <w:p>
      <w:pPr>
        <w:pStyle w:val="83"/>
        <w:ind w:firstLine="0" w:firstLineChars="0"/>
        <w:jc w:val="left"/>
        <w:rPr>
          <w:rFonts w:ascii="宋体" w:hAnsi="宋体"/>
          <w:color w:val="000000"/>
          <w:sz w:val="21"/>
          <w:szCs w:val="21"/>
        </w:rPr>
      </w:pPr>
      <w:r>
        <w:rPr>
          <w:rFonts w:hint="eastAsia" w:ascii="宋体" w:hAnsi="宋体"/>
          <w:color w:val="000000"/>
          <w:sz w:val="21"/>
          <w:szCs w:val="21"/>
        </w:rPr>
        <w:t>委托代理人：                                     委托代理人：</w:t>
      </w:r>
    </w:p>
    <w:p>
      <w:pPr>
        <w:pStyle w:val="83"/>
        <w:ind w:firstLine="0" w:firstLineChars="0"/>
        <w:jc w:val="left"/>
        <w:rPr>
          <w:rFonts w:ascii="宋体" w:hAnsi="宋体"/>
          <w:color w:val="000000"/>
          <w:sz w:val="21"/>
          <w:szCs w:val="21"/>
        </w:rPr>
      </w:pPr>
      <w:r>
        <w:rPr>
          <w:rFonts w:hint="eastAsia" w:ascii="宋体" w:hAnsi="宋体"/>
          <w:color w:val="000000"/>
          <w:sz w:val="21"/>
          <w:szCs w:val="21"/>
        </w:rPr>
        <w:t>电话：                                           电话：</w:t>
      </w:r>
    </w:p>
    <w:p>
      <w:pPr>
        <w:pStyle w:val="83"/>
        <w:ind w:firstLine="0" w:firstLineChars="0"/>
        <w:jc w:val="left"/>
        <w:rPr>
          <w:rFonts w:ascii="宋体" w:hAnsi="宋体"/>
          <w:color w:val="000000"/>
          <w:sz w:val="21"/>
          <w:szCs w:val="21"/>
        </w:rPr>
      </w:pPr>
      <w:r>
        <w:rPr>
          <w:rFonts w:hint="eastAsia" w:ascii="宋体" w:hAnsi="宋体"/>
          <w:color w:val="000000"/>
          <w:sz w:val="21"/>
          <w:szCs w:val="21"/>
        </w:rPr>
        <w:t>开户银行：                                       开户银行：</w:t>
      </w:r>
    </w:p>
    <w:p>
      <w:pPr>
        <w:pStyle w:val="83"/>
        <w:ind w:firstLine="0" w:firstLineChars="0"/>
        <w:jc w:val="left"/>
        <w:rPr>
          <w:rFonts w:ascii="宋体" w:hAnsi="宋体"/>
          <w:color w:val="000000"/>
          <w:sz w:val="21"/>
          <w:szCs w:val="21"/>
        </w:rPr>
      </w:pPr>
      <w:r>
        <w:rPr>
          <w:rFonts w:hint="eastAsia" w:ascii="宋体" w:hAnsi="宋体"/>
          <w:color w:val="000000"/>
          <w:sz w:val="21"/>
          <w:szCs w:val="21"/>
        </w:rPr>
        <w:t xml:space="preserve">帐号：                                           帐号： </w:t>
      </w:r>
    </w:p>
    <w:p>
      <w:pPr>
        <w:pStyle w:val="83"/>
        <w:ind w:firstLine="0" w:firstLineChars="0"/>
        <w:jc w:val="left"/>
        <w:rPr>
          <w:rFonts w:ascii="宋体" w:hAnsi="宋体"/>
          <w:color w:val="000000"/>
          <w:sz w:val="21"/>
          <w:szCs w:val="21"/>
        </w:rPr>
      </w:pPr>
      <w:r>
        <w:rPr>
          <w:rFonts w:hint="eastAsia" w:ascii="宋体" w:hAnsi="宋体"/>
          <w:color w:val="000000"/>
          <w:sz w:val="21"/>
          <w:szCs w:val="21"/>
        </w:rPr>
        <w:t>签约时间：     年   月  日                       签约时间：  年    月    日</w:t>
      </w:r>
    </w:p>
    <w:p>
      <w:pPr>
        <w:rPr>
          <w:b/>
          <w:sz w:val="52"/>
          <w:szCs w:val="52"/>
        </w:rPr>
      </w:pPr>
    </w:p>
    <w:p>
      <w:pPr>
        <w:rPr>
          <w:b/>
          <w:sz w:val="52"/>
          <w:szCs w:val="52"/>
        </w:rPr>
      </w:pPr>
    </w:p>
    <w:p>
      <w:pPr>
        <w:rPr>
          <w:b/>
          <w:sz w:val="52"/>
          <w:szCs w:val="52"/>
        </w:rPr>
      </w:pPr>
    </w:p>
    <w:p>
      <w:pPr>
        <w:widowControl/>
        <w:spacing w:line="360" w:lineRule="auto"/>
        <w:jc w:val="left"/>
        <w:rPr>
          <w:rFonts w:ascii="宋体" w:hAnsi="宋体"/>
          <w:szCs w:val="21"/>
        </w:rPr>
      </w:pPr>
      <w:r>
        <w:rPr>
          <w:b/>
          <w:szCs w:val="21"/>
        </w:rPr>
        <w:br w:type="textWrapping"/>
      </w:r>
      <w:r>
        <w:rPr>
          <w:rFonts w:hint="eastAsia"/>
        </w:rPr>
        <w:t>附件1：</w:t>
      </w:r>
    </w:p>
    <w:p>
      <w:pPr>
        <w:widowControl/>
        <w:spacing w:line="360" w:lineRule="auto"/>
        <w:ind w:firstLine="525" w:firstLineChars="250"/>
        <w:jc w:val="left"/>
        <w:rPr>
          <w:rFonts w:ascii="宋体" w:hAnsi="宋体"/>
          <w:szCs w:val="21"/>
        </w:rPr>
      </w:pPr>
      <w:r>
        <w:rPr>
          <w:rFonts w:hint="eastAsia" w:ascii="宋体" w:hAnsi="宋体"/>
          <w:szCs w:val="21"/>
        </w:rPr>
        <w:t>注：配置清单中产品的品牌、数量、质量、参数、功能等，要求交付时必须在报关、完税、商检等方面无瑕疵、具备合法文件，否则视为设备质量不符合要求，责任由乙方承担。</w:t>
      </w:r>
    </w:p>
    <w:p>
      <w:pPr>
        <w:pStyle w:val="26"/>
      </w:pPr>
    </w:p>
    <w:p>
      <w:pPr>
        <w:widowControl/>
        <w:spacing w:line="360" w:lineRule="auto"/>
        <w:ind w:firstLine="4337" w:firstLineChars="1800"/>
        <w:jc w:val="left"/>
        <w:rPr>
          <w:rFonts w:ascii="宋体" w:hAnsi="宋体"/>
          <w:szCs w:val="21"/>
        </w:rPr>
      </w:pPr>
      <w:r>
        <w:rPr>
          <w:rFonts w:hint="eastAsia" w:ascii="宋体" w:hAnsi="宋体" w:cs="宋体"/>
          <w:b/>
          <w:bCs/>
          <w:kern w:val="0"/>
          <w:sz w:val="24"/>
        </w:rPr>
        <w:t>设备配置清单</w:t>
      </w:r>
    </w:p>
    <w:tbl>
      <w:tblPr>
        <w:tblStyle w:val="50"/>
        <w:tblW w:w="9651" w:type="dxa"/>
        <w:tblInd w:w="96" w:type="dxa"/>
        <w:tblLayout w:type="fixed"/>
        <w:tblCellMar>
          <w:top w:w="0" w:type="dxa"/>
          <w:left w:w="108" w:type="dxa"/>
          <w:bottom w:w="0" w:type="dxa"/>
          <w:right w:w="108" w:type="dxa"/>
        </w:tblCellMar>
      </w:tblPr>
      <w:tblGrid>
        <w:gridCol w:w="721"/>
        <w:gridCol w:w="1639"/>
        <w:gridCol w:w="960"/>
        <w:gridCol w:w="1228"/>
        <w:gridCol w:w="692"/>
        <w:gridCol w:w="960"/>
        <w:gridCol w:w="960"/>
        <w:gridCol w:w="1499"/>
        <w:gridCol w:w="992"/>
      </w:tblGrid>
      <w:tr>
        <w:tblPrEx>
          <w:tblCellMar>
            <w:top w:w="0" w:type="dxa"/>
            <w:left w:w="108" w:type="dxa"/>
            <w:bottom w:w="0" w:type="dxa"/>
            <w:right w:w="108" w:type="dxa"/>
          </w:tblCellMar>
        </w:tblPrEx>
        <w:trPr>
          <w:trHeight w:val="288" w:hRule="atLeast"/>
        </w:trPr>
        <w:tc>
          <w:tcPr>
            <w:tcW w:w="7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序号</w:t>
            </w:r>
          </w:p>
        </w:tc>
        <w:tc>
          <w:tcPr>
            <w:tcW w:w="163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货物名称</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品牌</w:t>
            </w:r>
          </w:p>
        </w:tc>
        <w:tc>
          <w:tcPr>
            <w:tcW w:w="122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规格型号</w:t>
            </w:r>
          </w:p>
        </w:tc>
        <w:tc>
          <w:tcPr>
            <w:tcW w:w="69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数量单位</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单价（元）</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总价（元）</w:t>
            </w:r>
          </w:p>
        </w:tc>
        <w:tc>
          <w:tcPr>
            <w:tcW w:w="149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注册证号</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备注</w:t>
            </w:r>
          </w:p>
        </w:tc>
      </w:tr>
      <w:tr>
        <w:tblPrEx>
          <w:tblCellMar>
            <w:top w:w="0" w:type="dxa"/>
            <w:left w:w="108" w:type="dxa"/>
            <w:bottom w:w="0" w:type="dxa"/>
            <w:right w:w="108" w:type="dxa"/>
          </w:tblCellMar>
        </w:tblPrEx>
        <w:trPr>
          <w:trHeight w:val="288"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63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228"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692"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49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8"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63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228"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692"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49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r>
    </w:tbl>
    <w:p>
      <w:pPr>
        <w:widowControl/>
        <w:spacing w:line="360" w:lineRule="auto"/>
        <w:jc w:val="left"/>
        <w:rPr>
          <w:rFonts w:ascii="宋体" w:hAnsi="宋体"/>
          <w:b/>
          <w:szCs w:val="21"/>
        </w:rPr>
      </w:pPr>
    </w:p>
    <w:tbl>
      <w:tblPr>
        <w:tblStyle w:val="50"/>
        <w:tblpPr w:leftFromText="180" w:rightFromText="180" w:vertAnchor="text" w:horzAnchor="margin" w:tblpXSpec="center" w:tblpY="1"/>
        <w:tblW w:w="9366" w:type="dxa"/>
        <w:tblInd w:w="0" w:type="dxa"/>
        <w:tblLayout w:type="fixed"/>
        <w:tblCellMar>
          <w:top w:w="0" w:type="dxa"/>
          <w:left w:w="108" w:type="dxa"/>
          <w:bottom w:w="0" w:type="dxa"/>
          <w:right w:w="108" w:type="dxa"/>
        </w:tblCellMar>
      </w:tblPr>
      <w:tblGrid>
        <w:gridCol w:w="817"/>
        <w:gridCol w:w="3341"/>
        <w:gridCol w:w="1789"/>
        <w:gridCol w:w="1136"/>
        <w:gridCol w:w="1100"/>
        <w:gridCol w:w="1183"/>
      </w:tblGrid>
      <w:tr>
        <w:tblPrEx>
          <w:tblCellMar>
            <w:top w:w="0" w:type="dxa"/>
            <w:left w:w="108" w:type="dxa"/>
            <w:bottom w:w="0" w:type="dxa"/>
            <w:right w:w="108" w:type="dxa"/>
          </w:tblCellMar>
        </w:tblPrEx>
        <w:trPr>
          <w:trHeight w:val="294" w:hRule="atLeast"/>
        </w:trPr>
        <w:tc>
          <w:tcPr>
            <w:tcW w:w="9366" w:type="dxa"/>
            <w:gridSpan w:val="6"/>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宋体" w:hAnsi="宋体" w:cs="宋体"/>
                <w:b/>
                <w:bCs/>
                <w:kern w:val="0"/>
                <w:sz w:val="24"/>
              </w:rPr>
            </w:pPr>
            <w:r>
              <w:rPr>
                <w:rFonts w:hint="eastAsia" w:ascii="宋体" w:hAnsi="宋体" w:cs="宋体"/>
                <w:b/>
                <w:bCs/>
                <w:kern w:val="0"/>
                <w:sz w:val="24"/>
              </w:rPr>
              <w:t>设备配套消耗材料报价单（实际以相关部门议价结果为准，本价格为议价的最高限价）</w:t>
            </w:r>
          </w:p>
        </w:tc>
      </w:tr>
      <w:tr>
        <w:tblPrEx>
          <w:tblCellMar>
            <w:top w:w="0" w:type="dxa"/>
            <w:left w:w="108" w:type="dxa"/>
            <w:bottom w:w="0" w:type="dxa"/>
            <w:right w:w="108" w:type="dxa"/>
          </w:tblCellMar>
        </w:tblPrEx>
        <w:trPr>
          <w:trHeight w:val="586" w:hRule="atLeast"/>
        </w:trPr>
        <w:tc>
          <w:tcPr>
            <w:tcW w:w="81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序号</w:t>
            </w:r>
          </w:p>
        </w:tc>
        <w:tc>
          <w:tcPr>
            <w:tcW w:w="334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产品注册名称（中文）</w:t>
            </w:r>
          </w:p>
        </w:tc>
        <w:tc>
          <w:tcPr>
            <w:tcW w:w="1789"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产品注册证号</w:t>
            </w:r>
          </w:p>
        </w:tc>
        <w:tc>
          <w:tcPr>
            <w:tcW w:w="113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规格 型号</w:t>
            </w:r>
          </w:p>
        </w:tc>
        <w:tc>
          <w:tcPr>
            <w:tcW w:w="110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计量单位</w:t>
            </w:r>
          </w:p>
        </w:tc>
        <w:tc>
          <w:tcPr>
            <w:tcW w:w="11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单价（元）</w:t>
            </w:r>
          </w:p>
        </w:tc>
      </w:tr>
      <w:tr>
        <w:tblPrEx>
          <w:tblCellMar>
            <w:top w:w="0" w:type="dxa"/>
            <w:left w:w="108" w:type="dxa"/>
            <w:bottom w:w="0" w:type="dxa"/>
            <w:right w:w="108" w:type="dxa"/>
          </w:tblCellMar>
        </w:tblPrEx>
        <w:trPr>
          <w:trHeight w:val="293" w:hRule="atLeast"/>
        </w:trPr>
        <w:tc>
          <w:tcPr>
            <w:tcW w:w="817" w:type="dxa"/>
            <w:tcBorders>
              <w:top w:val="nil"/>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3341"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789"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36"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0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83"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r>
      <w:tr>
        <w:tblPrEx>
          <w:tblCellMar>
            <w:top w:w="0" w:type="dxa"/>
            <w:left w:w="108" w:type="dxa"/>
            <w:bottom w:w="0" w:type="dxa"/>
            <w:right w:w="108" w:type="dxa"/>
          </w:tblCellMar>
        </w:tblPrEx>
        <w:trPr>
          <w:trHeight w:val="293" w:hRule="atLeast"/>
        </w:trPr>
        <w:tc>
          <w:tcPr>
            <w:tcW w:w="817" w:type="dxa"/>
            <w:tcBorders>
              <w:top w:val="nil"/>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3341"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789"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36"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0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83"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r>
    </w:tbl>
    <w:p>
      <w:pPr>
        <w:widowControl/>
        <w:jc w:val="left"/>
        <w:rPr>
          <w:rFonts w:ascii="宋体" w:hAnsi="宋体"/>
          <w:b/>
          <w:szCs w:val="21"/>
        </w:rPr>
      </w:pPr>
    </w:p>
    <w:p>
      <w:pPr>
        <w:widowControl/>
        <w:jc w:val="left"/>
        <w:rPr>
          <w:rFonts w:ascii="宋体" w:hAnsi="宋体"/>
          <w:b/>
          <w:szCs w:val="21"/>
        </w:rPr>
      </w:pPr>
    </w:p>
    <w:tbl>
      <w:tblPr>
        <w:tblStyle w:val="50"/>
        <w:tblpPr w:leftFromText="180" w:rightFromText="180" w:vertAnchor="text" w:horzAnchor="margin" w:tblpXSpec="center" w:tblpY="1"/>
        <w:tblW w:w="9346" w:type="dxa"/>
        <w:tblInd w:w="0" w:type="dxa"/>
        <w:tblLayout w:type="fixed"/>
        <w:tblCellMar>
          <w:top w:w="0" w:type="dxa"/>
          <w:left w:w="108" w:type="dxa"/>
          <w:bottom w:w="0" w:type="dxa"/>
          <w:right w:w="108" w:type="dxa"/>
        </w:tblCellMar>
      </w:tblPr>
      <w:tblGrid>
        <w:gridCol w:w="817"/>
        <w:gridCol w:w="3402"/>
        <w:gridCol w:w="1376"/>
        <w:gridCol w:w="1380"/>
        <w:gridCol w:w="1041"/>
        <w:gridCol w:w="1330"/>
      </w:tblGrid>
      <w:tr>
        <w:tblPrEx>
          <w:tblCellMar>
            <w:top w:w="0" w:type="dxa"/>
            <w:left w:w="108" w:type="dxa"/>
            <w:bottom w:w="0" w:type="dxa"/>
            <w:right w:w="108" w:type="dxa"/>
          </w:tblCellMar>
        </w:tblPrEx>
        <w:trPr>
          <w:trHeight w:val="561" w:hRule="atLeast"/>
        </w:trPr>
        <w:tc>
          <w:tcPr>
            <w:tcW w:w="9346" w:type="dxa"/>
            <w:gridSpan w:val="6"/>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宋体" w:hAnsi="宋体" w:cs="宋体"/>
                <w:b/>
                <w:bCs/>
                <w:kern w:val="0"/>
                <w:sz w:val="24"/>
              </w:rPr>
            </w:pPr>
            <w:r>
              <w:rPr>
                <w:rFonts w:hint="eastAsia" w:ascii="宋体" w:hAnsi="宋体" w:cs="宋体"/>
                <w:b/>
                <w:bCs/>
                <w:kern w:val="0"/>
                <w:sz w:val="24"/>
              </w:rPr>
              <w:t>设备主要维修配件报价单（实际以相关部门议价结果为准，本价格为议价的最高限价）</w:t>
            </w:r>
          </w:p>
        </w:tc>
      </w:tr>
      <w:tr>
        <w:tblPrEx>
          <w:tblCellMar>
            <w:top w:w="0" w:type="dxa"/>
            <w:left w:w="108" w:type="dxa"/>
            <w:bottom w:w="0" w:type="dxa"/>
            <w:right w:w="108" w:type="dxa"/>
          </w:tblCellMar>
        </w:tblPrEx>
        <w:trPr>
          <w:trHeight w:val="570" w:hRule="atLeast"/>
        </w:trPr>
        <w:tc>
          <w:tcPr>
            <w:tcW w:w="817" w:type="dxa"/>
            <w:tcBorders>
              <w:top w:val="nil"/>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18"/>
                <w:szCs w:val="18"/>
              </w:rPr>
            </w:pPr>
            <w:r>
              <w:rPr>
                <w:rFonts w:hint="eastAsia" w:ascii="宋体" w:hAnsi="宋体" w:cs="宋体"/>
                <w:kern w:val="0"/>
                <w:sz w:val="18"/>
                <w:szCs w:val="18"/>
              </w:rPr>
              <w:t>序号</w:t>
            </w:r>
          </w:p>
        </w:tc>
        <w:tc>
          <w:tcPr>
            <w:tcW w:w="3402"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配件名称（中文）</w:t>
            </w:r>
          </w:p>
        </w:tc>
        <w:tc>
          <w:tcPr>
            <w:tcW w:w="137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计量单位</w:t>
            </w:r>
          </w:p>
        </w:tc>
        <w:tc>
          <w:tcPr>
            <w:tcW w:w="138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单价（元）</w:t>
            </w:r>
          </w:p>
        </w:tc>
        <w:tc>
          <w:tcPr>
            <w:tcW w:w="104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配件编码</w:t>
            </w:r>
          </w:p>
        </w:tc>
        <w:tc>
          <w:tcPr>
            <w:tcW w:w="133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备注</w:t>
            </w:r>
          </w:p>
        </w:tc>
      </w:tr>
      <w:tr>
        <w:tblPrEx>
          <w:tblCellMar>
            <w:top w:w="0" w:type="dxa"/>
            <w:left w:w="108" w:type="dxa"/>
            <w:bottom w:w="0" w:type="dxa"/>
            <w:right w:w="108" w:type="dxa"/>
          </w:tblCellMar>
        </w:tblPrEx>
        <w:trPr>
          <w:trHeight w:val="461" w:hRule="atLeast"/>
        </w:trPr>
        <w:tc>
          <w:tcPr>
            <w:tcW w:w="817" w:type="dxa"/>
            <w:tcBorders>
              <w:top w:val="nil"/>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3402"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76"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8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041"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3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r>
      <w:tr>
        <w:tblPrEx>
          <w:tblCellMar>
            <w:top w:w="0" w:type="dxa"/>
            <w:left w:w="108" w:type="dxa"/>
            <w:bottom w:w="0" w:type="dxa"/>
            <w:right w:w="108" w:type="dxa"/>
          </w:tblCellMar>
        </w:tblPrEx>
        <w:trPr>
          <w:trHeight w:val="286" w:hRule="atLeast"/>
        </w:trPr>
        <w:tc>
          <w:tcPr>
            <w:tcW w:w="817" w:type="dxa"/>
            <w:tcBorders>
              <w:top w:val="nil"/>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3402"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76"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8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041"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3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r>
    </w:tbl>
    <w:p>
      <w:pPr>
        <w:pStyle w:val="26"/>
        <w:rPr>
          <w:highlight w:val="yellow"/>
        </w:rPr>
      </w:pPr>
    </w:p>
    <w:p>
      <w:pPr>
        <w:jc w:val="left"/>
        <w:rPr>
          <w:b/>
          <w:szCs w:val="21"/>
        </w:rPr>
      </w:pPr>
      <w:r>
        <w:rPr>
          <w:b/>
          <w:szCs w:val="21"/>
        </w:rPr>
        <w:br w:type="textWrapping"/>
      </w: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附件2：</w:t>
      </w:r>
    </w:p>
    <w:p>
      <w:pPr>
        <w:jc w:val="center"/>
        <w:rPr>
          <w:b/>
          <w:sz w:val="32"/>
          <w:szCs w:val="32"/>
        </w:rPr>
      </w:pPr>
      <w:r>
        <w:rPr>
          <w:rFonts w:hint="eastAsia"/>
          <w:b/>
          <w:sz w:val="32"/>
          <w:szCs w:val="32"/>
        </w:rPr>
        <w:t>承 诺 书1（适用于临床医疗器械）</w:t>
      </w:r>
    </w:p>
    <w:p>
      <w:pPr>
        <w:rPr>
          <w:sz w:val="18"/>
          <w:szCs w:val="18"/>
        </w:rPr>
      </w:pPr>
      <w:r>
        <w:rPr>
          <w:rFonts w:hint="eastAsia"/>
          <w:sz w:val="22"/>
          <w:szCs w:val="22"/>
        </w:rPr>
        <w:t>本设备厂家（</w:t>
      </w:r>
      <w:r>
        <w:rPr>
          <w:rFonts w:hint="eastAsia"/>
          <w:color w:val="FF0000"/>
          <w:sz w:val="22"/>
          <w:szCs w:val="22"/>
          <w:highlight w:val="yellow"/>
        </w:rPr>
        <w:t>XXX</w:t>
      </w:r>
      <w:r>
        <w:rPr>
          <w:rFonts w:hint="eastAsia"/>
          <w:sz w:val="22"/>
          <w:szCs w:val="22"/>
          <w:highlight w:val="yellow"/>
        </w:rPr>
        <w:t xml:space="preserve"> ）就经销商（ </w:t>
      </w:r>
      <w:r>
        <w:rPr>
          <w:rFonts w:hint="eastAsia"/>
          <w:color w:val="FF0000"/>
          <w:sz w:val="22"/>
          <w:szCs w:val="22"/>
          <w:highlight w:val="yellow"/>
        </w:rPr>
        <w:t>XXX</w:t>
      </w:r>
      <w:r>
        <w:rPr>
          <w:rFonts w:hint="eastAsia"/>
          <w:sz w:val="22"/>
          <w:szCs w:val="22"/>
          <w:highlight w:val="yellow"/>
        </w:rPr>
        <w:t>公</w:t>
      </w:r>
      <w:r>
        <w:rPr>
          <w:rFonts w:hint="eastAsia"/>
          <w:sz w:val="22"/>
          <w:szCs w:val="22"/>
        </w:rPr>
        <w:t>司）销售给中山大学附属第八医院（深圳福田）的</w:t>
      </w:r>
      <w:r>
        <w:rPr>
          <w:rFonts w:hint="eastAsia"/>
          <w:color w:val="FF0000"/>
          <w:sz w:val="22"/>
          <w:szCs w:val="22"/>
          <w:highlight w:val="yellow"/>
        </w:rPr>
        <w:t>XXX</w:t>
      </w:r>
      <w:r>
        <w:rPr>
          <w:rFonts w:hint="eastAsia"/>
          <w:sz w:val="22"/>
          <w:szCs w:val="22"/>
        </w:rPr>
        <w:t>设备相关事宜（厂家和经销商）做出如下承诺，并愿意承担相关的法律责任。</w:t>
      </w:r>
      <w:r>
        <w:rPr>
          <w:rFonts w:hint="eastAsia" w:ascii="宋体" w:hAnsi="宋体"/>
          <w:szCs w:val="21"/>
        </w:rPr>
        <w:br w:type="textWrapping"/>
      </w:r>
      <w:r>
        <w:rPr>
          <w:rFonts w:hint="eastAsia"/>
          <w:sz w:val="18"/>
          <w:szCs w:val="18"/>
        </w:rPr>
        <w:t>注：以上条款若厂家未能及时有效的执行我院将采取相应的处罚和措施。</w:t>
      </w:r>
    </w:p>
    <w:p>
      <w:pPr>
        <w:rPr>
          <w:szCs w:val="21"/>
        </w:rPr>
      </w:pPr>
      <w:r>
        <w:rPr>
          <w:rFonts w:hint="eastAsia" w:ascii="宋体" w:hAnsi="宋体"/>
          <w:szCs w:val="21"/>
        </w:rPr>
        <w:br w:type="textWrapping"/>
      </w:r>
      <w:r>
        <w:rPr>
          <w:rFonts w:hint="eastAsia"/>
          <w:szCs w:val="21"/>
        </w:rPr>
        <w:t>厂家/中国总代理：                                  中标代理商/经销商：</w:t>
      </w:r>
    </w:p>
    <w:p>
      <w:pPr>
        <w:rPr>
          <w:szCs w:val="21"/>
        </w:rPr>
      </w:pPr>
      <w:r>
        <w:rPr>
          <w:rFonts w:hint="eastAsia"/>
          <w:szCs w:val="21"/>
        </w:rPr>
        <w:t>电话：                                             电话：</w:t>
      </w:r>
    </w:p>
    <w:p>
      <w:pPr>
        <w:rPr>
          <w:szCs w:val="21"/>
        </w:rPr>
      </w:pPr>
      <w:r>
        <w:rPr>
          <w:rFonts w:hint="eastAsia"/>
          <w:szCs w:val="21"/>
        </w:rPr>
        <w:t>盖章：                                             盖章：</w:t>
      </w:r>
    </w:p>
    <w:p>
      <w:pPr>
        <w:rPr>
          <w:rFonts w:ascii="宋体" w:hAnsi="宋体"/>
          <w:szCs w:val="21"/>
        </w:rPr>
      </w:pPr>
    </w:p>
    <w:tbl>
      <w:tblPr>
        <w:tblStyle w:val="50"/>
        <w:tblpPr w:leftFromText="180" w:rightFromText="180" w:vertAnchor="page" w:horzAnchor="page" w:tblpX="1159" w:tblpY="2902"/>
        <w:tblW w:w="93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13"/>
        <w:gridCol w:w="89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9340" w:type="dxa"/>
            <w:gridSpan w:val="2"/>
          </w:tcPr>
          <w:p>
            <w:pPr>
              <w:jc w:val="left"/>
              <w:rPr>
                <w:b/>
                <w:sz w:val="24"/>
              </w:rPr>
            </w:pPr>
            <w:r>
              <w:rPr>
                <w:rFonts w:hint="eastAsia"/>
                <w:b/>
                <w:sz w:val="24"/>
              </w:rPr>
              <w:t xml:space="preserve">                          承诺项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413" w:type="dxa"/>
            <w:vMerge w:val="restart"/>
          </w:tcPr>
          <w:p>
            <w:pPr>
              <w:jc w:val="left"/>
              <w:rPr>
                <w:b/>
                <w:sz w:val="24"/>
              </w:rPr>
            </w:pPr>
            <w:r>
              <w:rPr>
                <w:rFonts w:hint="eastAsia"/>
                <w:b/>
                <w:sz w:val="24"/>
              </w:rPr>
              <w:t>医疗器械使用质量管理要求</w:t>
            </w:r>
          </w:p>
        </w:tc>
        <w:tc>
          <w:tcPr>
            <w:tcW w:w="8927" w:type="dxa"/>
          </w:tcPr>
          <w:p>
            <w:pPr>
              <w:jc w:val="left"/>
              <w:rPr>
                <w:sz w:val="18"/>
                <w:szCs w:val="18"/>
              </w:rPr>
            </w:pPr>
            <w:r>
              <w:rPr>
                <w:rFonts w:hint="eastAsia"/>
                <w:sz w:val="18"/>
                <w:szCs w:val="18"/>
              </w:rPr>
              <w:t>根据《医疗器械使用质量管理办法》即18号令的第17条规定，厂家是需要提供维护手册、维修手册、软件备份、故障代码表、备件清单、零部件、维修密码等维护维修必需的材料和信息。（验收资料审核时递交）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413" w:type="dxa"/>
            <w:vMerge w:val="continue"/>
          </w:tcPr>
          <w:p>
            <w:pPr>
              <w:jc w:val="left"/>
              <w:rPr>
                <w:b/>
                <w:sz w:val="24"/>
              </w:rPr>
            </w:pPr>
          </w:p>
        </w:tc>
        <w:tc>
          <w:tcPr>
            <w:tcW w:w="8927" w:type="dxa"/>
          </w:tcPr>
          <w:p>
            <w:pPr>
              <w:jc w:val="left"/>
              <w:rPr>
                <w:sz w:val="18"/>
                <w:szCs w:val="18"/>
              </w:rPr>
            </w:pPr>
            <w:r>
              <w:rPr>
                <w:rFonts w:hint="eastAsia"/>
                <w:sz w:val="18"/>
                <w:szCs w:val="18"/>
              </w:rPr>
              <w:t>根据《医疗器械使用质量管理办法》即18号令的第15条规定，售后服务的内容必须规定：厂家或者供应商最少每年2次的上门走访检测、校准或者保养，并形成报告保存设备科存档（院方工程师）。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4" w:hRule="atLeast"/>
        </w:trPr>
        <w:tc>
          <w:tcPr>
            <w:tcW w:w="413" w:type="dxa"/>
            <w:vMerge w:val="continue"/>
          </w:tcPr>
          <w:p>
            <w:pPr>
              <w:jc w:val="left"/>
              <w:rPr>
                <w:b/>
                <w:sz w:val="24"/>
              </w:rPr>
            </w:pPr>
          </w:p>
        </w:tc>
        <w:tc>
          <w:tcPr>
            <w:tcW w:w="8927" w:type="dxa"/>
          </w:tcPr>
          <w:p>
            <w:pPr>
              <w:jc w:val="left"/>
              <w:rPr>
                <w:sz w:val="18"/>
                <w:szCs w:val="18"/>
              </w:rPr>
            </w:pPr>
            <w:r>
              <w:rPr>
                <w:rFonts w:hint="eastAsia"/>
                <w:sz w:val="18"/>
                <w:szCs w:val="18"/>
              </w:rPr>
              <w:t>根据《医疗器械使用质量管理办法》即18号令的第18条规定，要明确质量要求、维修要求等，售后服务内容必须规定：厂家维修后，必须要有设备性能，或者电气安全方面的检测报告。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9" w:hRule="atLeast"/>
        </w:trPr>
        <w:tc>
          <w:tcPr>
            <w:tcW w:w="413" w:type="dxa"/>
            <w:vMerge w:val="continue"/>
          </w:tcPr>
          <w:p>
            <w:pPr>
              <w:jc w:val="left"/>
              <w:rPr>
                <w:b/>
              </w:rPr>
            </w:pPr>
          </w:p>
        </w:tc>
        <w:tc>
          <w:tcPr>
            <w:tcW w:w="8927" w:type="dxa"/>
          </w:tcPr>
          <w:p>
            <w:pPr>
              <w:jc w:val="left"/>
              <w:rPr>
                <w:sz w:val="18"/>
                <w:szCs w:val="18"/>
              </w:rPr>
            </w:pPr>
            <w:r>
              <w:rPr>
                <w:rFonts w:hint="eastAsia"/>
                <w:sz w:val="18"/>
                <w:szCs w:val="18"/>
              </w:rPr>
              <w:t>设备关键技术指标的校准及检测工作包括：（验收资料审核时递交）</w:t>
            </w:r>
          </w:p>
          <w:p>
            <w:pPr>
              <w:jc w:val="left"/>
              <w:rPr>
                <w:sz w:val="18"/>
                <w:szCs w:val="18"/>
              </w:rPr>
            </w:pPr>
            <w:r>
              <w:rPr>
                <w:rFonts w:hint="eastAsia"/>
                <w:sz w:val="18"/>
                <w:szCs w:val="18"/>
              </w:rPr>
              <w:t>1.临床技术员自行校准的官方要求（周期、方法步骤）；</w:t>
            </w:r>
          </w:p>
          <w:p>
            <w:pPr>
              <w:jc w:val="left"/>
              <w:rPr>
                <w:sz w:val="18"/>
                <w:szCs w:val="18"/>
              </w:rPr>
            </w:pPr>
            <w:r>
              <w:rPr>
                <w:rFonts w:hint="eastAsia"/>
                <w:sz w:val="18"/>
                <w:szCs w:val="18"/>
              </w:rPr>
              <w:t>2.厂家定期提供专业设备的质量校准及检测(保外若需收费注明费用)；</w:t>
            </w:r>
          </w:p>
          <w:p>
            <w:pPr>
              <w:jc w:val="left"/>
              <w:rPr>
                <w:sz w:val="18"/>
                <w:szCs w:val="18"/>
              </w:rPr>
            </w:pPr>
            <w:r>
              <w:rPr>
                <w:rFonts w:hint="eastAsia"/>
                <w:sz w:val="18"/>
                <w:szCs w:val="18"/>
              </w:rPr>
              <w:t>3.厂家或法规要求的第三方检测工作。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8" w:hRule="atLeast"/>
        </w:trPr>
        <w:tc>
          <w:tcPr>
            <w:tcW w:w="413" w:type="dxa"/>
            <w:vMerge w:val="restart"/>
          </w:tcPr>
          <w:p>
            <w:pPr>
              <w:jc w:val="left"/>
              <w:rPr>
                <w:b/>
                <w:sz w:val="24"/>
              </w:rPr>
            </w:pPr>
          </w:p>
          <w:p>
            <w:pPr>
              <w:jc w:val="left"/>
              <w:rPr>
                <w:b/>
                <w:sz w:val="24"/>
              </w:rPr>
            </w:pPr>
          </w:p>
          <w:p>
            <w:pPr>
              <w:jc w:val="left"/>
              <w:rPr>
                <w:b/>
                <w:sz w:val="24"/>
              </w:rPr>
            </w:pPr>
          </w:p>
          <w:p>
            <w:pPr>
              <w:jc w:val="left"/>
              <w:rPr>
                <w:b/>
                <w:sz w:val="24"/>
              </w:rPr>
            </w:pPr>
          </w:p>
          <w:p>
            <w:pPr>
              <w:jc w:val="left"/>
              <w:rPr>
                <w:b/>
              </w:rPr>
            </w:pPr>
            <w:r>
              <w:rPr>
                <w:rFonts w:hint="eastAsia"/>
                <w:b/>
                <w:sz w:val="24"/>
              </w:rPr>
              <w:t>设备维护成本要求</w:t>
            </w:r>
          </w:p>
        </w:tc>
        <w:tc>
          <w:tcPr>
            <w:tcW w:w="8927" w:type="dxa"/>
          </w:tcPr>
          <w:p>
            <w:pPr>
              <w:jc w:val="left"/>
              <w:rPr>
                <w:sz w:val="18"/>
                <w:szCs w:val="18"/>
              </w:rPr>
            </w:pPr>
            <w:r>
              <w:rPr>
                <w:rFonts w:hint="eastAsia"/>
                <w:sz w:val="18"/>
                <w:szCs w:val="18"/>
              </w:rPr>
              <w:t>设备经销商及厂家必须提供400或维修热线电话支持，合同保修期期内，接到故障报修电话后，按要求做出技术响应。停机设备，电话报修后，工程师必须在约定时间到达现场。保修期后厂家的上门维修收费标准需提前报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9" w:hRule="atLeast"/>
        </w:trPr>
        <w:tc>
          <w:tcPr>
            <w:tcW w:w="413" w:type="dxa"/>
            <w:vMerge w:val="continue"/>
          </w:tcPr>
          <w:p>
            <w:pPr>
              <w:jc w:val="left"/>
              <w:rPr>
                <w:b/>
              </w:rPr>
            </w:pPr>
          </w:p>
        </w:tc>
        <w:tc>
          <w:tcPr>
            <w:tcW w:w="8927" w:type="dxa"/>
          </w:tcPr>
          <w:p>
            <w:pPr>
              <w:jc w:val="left"/>
              <w:rPr>
                <w:sz w:val="18"/>
                <w:szCs w:val="18"/>
              </w:rPr>
            </w:pPr>
            <w:r>
              <w:rPr>
                <w:rFonts w:hint="eastAsia"/>
                <w:sz w:val="18"/>
                <w:szCs w:val="18"/>
              </w:rPr>
              <w:t>保修期内设备出现如下质量问题，厂家、供应商应无条件给予整机更换、延保、更换相关零部件：</w:t>
            </w:r>
          </w:p>
          <w:p>
            <w:pPr>
              <w:jc w:val="left"/>
              <w:rPr>
                <w:sz w:val="18"/>
                <w:szCs w:val="18"/>
              </w:rPr>
            </w:pPr>
            <w:r>
              <w:rPr>
                <w:rFonts w:hint="eastAsia"/>
                <w:sz w:val="18"/>
                <w:szCs w:val="18"/>
              </w:rPr>
              <w:t>设备运行三个月内故障频发（三次以上）；</w:t>
            </w:r>
          </w:p>
          <w:p>
            <w:pPr>
              <w:jc w:val="left"/>
              <w:rPr>
                <w:sz w:val="18"/>
                <w:szCs w:val="18"/>
              </w:rPr>
            </w:pPr>
            <w:r>
              <w:rPr>
                <w:rFonts w:hint="eastAsia"/>
                <w:sz w:val="18"/>
                <w:szCs w:val="18"/>
              </w:rPr>
              <w:t>同类故障频发（保修期内三次以上）；</w:t>
            </w:r>
          </w:p>
          <w:p>
            <w:pPr>
              <w:jc w:val="left"/>
              <w:rPr>
                <w:sz w:val="18"/>
                <w:szCs w:val="18"/>
              </w:rPr>
            </w:pPr>
            <w:r>
              <w:rPr>
                <w:rFonts w:hint="eastAsia"/>
                <w:sz w:val="18"/>
                <w:szCs w:val="18"/>
              </w:rPr>
              <w:t>同类零部件故障频发（保修期内，同型号设备故障总和三件次以上）；</w:t>
            </w:r>
          </w:p>
          <w:p>
            <w:pPr>
              <w:jc w:val="left"/>
              <w:rPr>
                <w:sz w:val="18"/>
                <w:szCs w:val="18"/>
              </w:rPr>
            </w:pPr>
            <w:r>
              <w:rPr>
                <w:rFonts w:hint="eastAsia"/>
                <w:sz w:val="18"/>
                <w:szCs w:val="18"/>
              </w:rPr>
              <w:t>整机故障率高（每年10次以上）；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7" w:hRule="atLeast"/>
        </w:trPr>
        <w:tc>
          <w:tcPr>
            <w:tcW w:w="413" w:type="dxa"/>
            <w:vMerge w:val="continue"/>
          </w:tcPr>
          <w:p>
            <w:pPr>
              <w:jc w:val="left"/>
              <w:rPr>
                <w:b/>
              </w:rPr>
            </w:pPr>
          </w:p>
        </w:tc>
        <w:tc>
          <w:tcPr>
            <w:tcW w:w="8927" w:type="dxa"/>
          </w:tcPr>
          <w:p>
            <w:pPr>
              <w:jc w:val="left"/>
              <w:rPr>
                <w:sz w:val="18"/>
                <w:szCs w:val="18"/>
              </w:rPr>
            </w:pPr>
            <w:r>
              <w:rPr>
                <w:rFonts w:hint="eastAsia"/>
                <w:sz w:val="18"/>
                <w:szCs w:val="18"/>
              </w:rPr>
              <w:t>进口设备使用五年内，同类贵重零部件（人民币10000元以上）出现批量性非人为原因造成的故障（同类设备故障总和五件以上），厂家、供应商应免费给予更换配件或免费维修，或以成本价（低于市场价50%）提供全新原厂零部件予以更换。因此原因更换的零部件至少保修1年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atLeast"/>
        </w:trPr>
        <w:tc>
          <w:tcPr>
            <w:tcW w:w="413" w:type="dxa"/>
            <w:vMerge w:val="continue"/>
          </w:tcPr>
          <w:p>
            <w:pPr>
              <w:jc w:val="left"/>
              <w:rPr>
                <w:b/>
              </w:rPr>
            </w:pPr>
          </w:p>
        </w:tc>
        <w:tc>
          <w:tcPr>
            <w:tcW w:w="8927" w:type="dxa"/>
          </w:tcPr>
          <w:p>
            <w:pPr>
              <w:jc w:val="left"/>
              <w:rPr>
                <w:sz w:val="18"/>
                <w:szCs w:val="18"/>
              </w:rPr>
            </w:pPr>
            <w:r>
              <w:rPr>
                <w:rFonts w:hint="eastAsia"/>
                <w:sz w:val="18"/>
                <w:szCs w:val="18"/>
              </w:rPr>
              <w:t>经销商和厂家需共同提供设备的原厂保修的证明，保修内出现故障需提供原厂维修证明。厂家需提供设备年保修价格≤采购价 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13" w:type="dxa"/>
            <w:vMerge w:val="restart"/>
          </w:tcPr>
          <w:p>
            <w:pPr>
              <w:jc w:val="left"/>
              <w:rPr>
                <w:b/>
              </w:rPr>
            </w:pPr>
            <w:r>
              <w:rPr>
                <w:rFonts w:hint="eastAsia"/>
                <w:b/>
                <w:sz w:val="24"/>
              </w:rPr>
              <w:t>设备管理</w:t>
            </w:r>
          </w:p>
        </w:tc>
        <w:tc>
          <w:tcPr>
            <w:tcW w:w="8927" w:type="dxa"/>
          </w:tcPr>
          <w:p>
            <w:pPr>
              <w:jc w:val="left"/>
              <w:rPr>
                <w:sz w:val="18"/>
                <w:szCs w:val="18"/>
              </w:rPr>
            </w:pPr>
            <w:r>
              <w:rPr>
                <w:rFonts w:hint="eastAsia"/>
                <w:sz w:val="18"/>
                <w:szCs w:val="18"/>
              </w:rPr>
              <w:t>厂家需主动告知并召回潜在故障设备及处理方法并提供软件升级服务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13" w:type="dxa"/>
            <w:vMerge w:val="continue"/>
          </w:tcPr>
          <w:p>
            <w:pPr>
              <w:jc w:val="left"/>
              <w:rPr>
                <w:b/>
              </w:rPr>
            </w:pPr>
          </w:p>
        </w:tc>
        <w:tc>
          <w:tcPr>
            <w:tcW w:w="8927" w:type="dxa"/>
          </w:tcPr>
          <w:p>
            <w:pPr>
              <w:jc w:val="left"/>
              <w:rPr>
                <w:sz w:val="18"/>
                <w:szCs w:val="18"/>
              </w:rPr>
            </w:pPr>
            <w:r>
              <w:rPr>
                <w:rFonts w:hint="eastAsia"/>
                <w:sz w:val="18"/>
                <w:szCs w:val="18"/>
              </w:rPr>
              <w:t>厂家官方建议的设备报废年限，设备报废的官方鉴定书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atLeast"/>
        </w:trPr>
        <w:tc>
          <w:tcPr>
            <w:tcW w:w="413" w:type="dxa"/>
            <w:vMerge w:val="continue"/>
          </w:tcPr>
          <w:p>
            <w:pPr>
              <w:jc w:val="left"/>
              <w:rPr>
                <w:b/>
              </w:rPr>
            </w:pPr>
          </w:p>
        </w:tc>
        <w:tc>
          <w:tcPr>
            <w:tcW w:w="8927" w:type="dxa"/>
          </w:tcPr>
          <w:p>
            <w:pPr>
              <w:jc w:val="left"/>
              <w:rPr>
                <w:sz w:val="18"/>
                <w:szCs w:val="18"/>
              </w:rPr>
            </w:pPr>
            <w:r>
              <w:rPr>
                <w:rFonts w:hint="eastAsia"/>
                <w:sz w:val="18"/>
                <w:szCs w:val="18"/>
              </w:rPr>
              <w:t>部分设备（大型设备、数量多、科室多）除设备验收时培训工作外，厂家需提供额外的大型培训及院方工程师的专业培训（不少于两次）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413" w:type="dxa"/>
          </w:tcPr>
          <w:p>
            <w:pPr>
              <w:rPr>
                <w:b/>
                <w:sz w:val="24"/>
              </w:rPr>
            </w:pPr>
            <w:r>
              <w:rPr>
                <w:rFonts w:hint="eastAsia"/>
                <w:b/>
                <w:sz w:val="24"/>
              </w:rPr>
              <w:t>其</w:t>
            </w:r>
          </w:p>
          <w:p>
            <w:pPr>
              <w:rPr>
                <w:b/>
              </w:rPr>
            </w:pPr>
            <w:r>
              <w:rPr>
                <w:rFonts w:hint="eastAsia"/>
                <w:b/>
                <w:sz w:val="24"/>
              </w:rPr>
              <w:t>他</w:t>
            </w:r>
          </w:p>
        </w:tc>
        <w:tc>
          <w:tcPr>
            <w:tcW w:w="8927" w:type="dxa"/>
          </w:tcPr>
          <w:p>
            <w:pPr>
              <w:rPr>
                <w:sz w:val="18"/>
                <w:szCs w:val="18"/>
              </w:rPr>
            </w:pPr>
            <w:r>
              <w:rPr>
                <w:rFonts w:hint="eastAsia"/>
                <w:sz w:val="18"/>
                <w:szCs w:val="18"/>
              </w:rPr>
              <w:t>厂家需协助经销商做好设备验收前期的资料准备，参照我院设备验收说明。</w:t>
            </w:r>
          </w:p>
          <w:p>
            <w:pPr>
              <w:rPr>
                <w:sz w:val="18"/>
                <w:szCs w:val="18"/>
              </w:rPr>
            </w:pPr>
            <w:r>
              <w:rPr>
                <w:rFonts w:hint="eastAsia"/>
                <w:sz w:val="18"/>
                <w:szCs w:val="18"/>
              </w:rPr>
              <w:t>提供的货物必须为全新货物，出厂日期在甲方收到日期前</w:t>
            </w:r>
            <w:r>
              <w:rPr>
                <w:sz w:val="18"/>
                <w:szCs w:val="18"/>
              </w:rPr>
              <w:t>12</w:t>
            </w:r>
            <w:r>
              <w:rPr>
                <w:rFonts w:hint="eastAsia"/>
                <w:sz w:val="18"/>
                <w:szCs w:val="18"/>
              </w:rPr>
              <w:t>个月内，最新生产批次且经检验合格的产品。</w:t>
            </w:r>
          </w:p>
        </w:tc>
      </w:tr>
    </w:tbl>
    <w:p>
      <w:pPr>
        <w:rPr>
          <w:rFonts w:ascii="宋体" w:hAnsi="宋体"/>
          <w:szCs w:val="21"/>
        </w:rPr>
      </w:pPr>
    </w:p>
    <w:p>
      <w:pPr>
        <w:jc w:val="center"/>
        <w:rPr>
          <w:b/>
          <w:sz w:val="32"/>
          <w:szCs w:val="32"/>
        </w:rPr>
      </w:pPr>
      <w:r>
        <w:rPr>
          <w:rFonts w:hint="eastAsia"/>
          <w:b/>
          <w:sz w:val="32"/>
          <w:szCs w:val="32"/>
        </w:rPr>
        <w:t>原厂授权书及售后服务承诺函2</w:t>
      </w:r>
    </w:p>
    <w:p>
      <w:pPr>
        <w:spacing w:line="360" w:lineRule="auto"/>
        <w:rPr>
          <w:rFonts w:ascii="宋体" w:hAnsi="宋体"/>
          <w:szCs w:val="21"/>
        </w:rPr>
      </w:pPr>
      <w:r>
        <w:rPr>
          <w:rFonts w:hint="eastAsia" w:ascii="宋体" w:hAnsi="宋体"/>
          <w:szCs w:val="21"/>
        </w:rPr>
        <w:t>中山大学附属第八医院（深圳福田）：</w:t>
      </w:r>
    </w:p>
    <w:p>
      <w:pPr>
        <w:spacing w:line="360" w:lineRule="auto"/>
        <w:ind w:firstLine="435"/>
        <w:rPr>
          <w:rFonts w:ascii="宋体" w:hAnsi="宋体"/>
          <w:szCs w:val="21"/>
        </w:rPr>
      </w:pPr>
      <w:r>
        <w:rPr>
          <w:rFonts w:hint="eastAsia" w:ascii="宋体" w:hAnsi="宋体"/>
          <w:szCs w:val="21"/>
        </w:rPr>
        <w:t>我们</w:t>
      </w:r>
      <w:r>
        <w:rPr>
          <w:rFonts w:hint="eastAsia" w:ascii="宋体" w:hAnsi="宋体"/>
          <w:szCs w:val="21"/>
          <w:u w:val="single"/>
        </w:rPr>
        <w:t xml:space="preserve">  （投标人单位名称）   </w:t>
      </w:r>
      <w:r>
        <w:rPr>
          <w:rFonts w:hint="eastAsia" w:ascii="宋体" w:hAnsi="宋体"/>
          <w:szCs w:val="21"/>
        </w:rPr>
        <w:t xml:space="preserve"> （制造商或者进口机电产品的国内总代理商名称）是按</w:t>
      </w:r>
      <w:r>
        <w:rPr>
          <w:rFonts w:hint="eastAsia" w:ascii="宋体" w:hAnsi="宋体"/>
          <w:szCs w:val="21"/>
          <w:u w:val="single"/>
        </w:rPr>
        <w:t>中华人民共和国</w:t>
      </w:r>
      <w:r>
        <w:rPr>
          <w:rFonts w:hint="eastAsia" w:ascii="宋体" w:hAnsi="宋体"/>
          <w:szCs w:val="21"/>
        </w:rPr>
        <w:t>（国家名称）法律成立的一家公司，主要营业地址设在。兹指派按</w:t>
      </w:r>
      <w:r>
        <w:rPr>
          <w:rFonts w:hint="eastAsia" w:ascii="宋体" w:hAnsi="宋体"/>
          <w:szCs w:val="21"/>
          <w:u w:val="single"/>
        </w:rPr>
        <w:t>中华人民共和国</w:t>
      </w:r>
      <w:r>
        <w:rPr>
          <w:rFonts w:hint="eastAsia" w:ascii="宋体" w:hAnsi="宋体"/>
          <w:szCs w:val="21"/>
        </w:rPr>
        <w:t>（国家名称）法律成立的、主要营业地址设在的（投标人单位名称）作为我方真正的和合法的代理人进行下列有效活动：</w:t>
      </w:r>
    </w:p>
    <w:p>
      <w:pPr>
        <w:spacing w:line="360" w:lineRule="auto"/>
        <w:ind w:firstLine="435"/>
        <w:rPr>
          <w:rFonts w:ascii="宋体" w:hAnsi="宋体"/>
          <w:szCs w:val="21"/>
        </w:rPr>
      </w:pPr>
      <w:r>
        <w:rPr>
          <w:rFonts w:hint="eastAsia" w:ascii="宋体" w:hAnsi="宋体"/>
          <w:szCs w:val="21"/>
        </w:rPr>
        <w:t>1. 代表我方办理贵方关于</w:t>
      </w:r>
      <w:r>
        <w:rPr>
          <w:rFonts w:hint="eastAsia" w:ascii="宋体" w:hAnsi="宋体"/>
          <w:szCs w:val="21"/>
          <w:u w:val="single"/>
        </w:rPr>
        <w:t xml:space="preserve">       项目</w:t>
      </w:r>
      <w:r>
        <w:rPr>
          <w:rFonts w:hint="eastAsia" w:ascii="宋体" w:hAnsi="宋体"/>
          <w:szCs w:val="21"/>
        </w:rPr>
        <w:t>（</w:t>
      </w:r>
      <w:r>
        <w:rPr>
          <w:rFonts w:hint="eastAsia" w:ascii="宋体" w:hAnsi="宋体"/>
          <w:szCs w:val="21"/>
          <w:u w:val="single"/>
        </w:rPr>
        <w:t xml:space="preserve">项目编号：        </w:t>
      </w:r>
      <w:r>
        <w:rPr>
          <w:rFonts w:hint="eastAsia" w:ascii="宋体" w:hAnsi="宋体"/>
          <w:szCs w:val="21"/>
        </w:rPr>
        <w:t>）要求采购的由我方制造/或进口的货物的有关事宜，并对我方具有约束力。</w:t>
      </w:r>
    </w:p>
    <w:p>
      <w:pPr>
        <w:spacing w:line="360" w:lineRule="auto"/>
        <w:ind w:firstLine="435"/>
        <w:rPr>
          <w:rFonts w:ascii="宋体" w:hAnsi="宋体"/>
          <w:szCs w:val="21"/>
        </w:rPr>
      </w:pPr>
      <w:r>
        <w:rPr>
          <w:rFonts w:hint="eastAsia" w:ascii="宋体" w:hAnsi="宋体"/>
          <w:szCs w:val="21"/>
        </w:rPr>
        <w:t>2. 作为原厂商，我方保证为本项目验收合格后的组织实施、售后服务提供</w:t>
      </w:r>
      <w:r>
        <w:rPr>
          <w:rFonts w:hint="eastAsia" w:ascii="宋体" w:hAnsi="宋体"/>
          <w:szCs w:val="21"/>
          <w:u w:val="single"/>
        </w:rPr>
        <w:t xml:space="preserve">＿  </w:t>
      </w:r>
      <w:r>
        <w:rPr>
          <w:rFonts w:hint="eastAsia" w:ascii="宋体" w:hAnsi="宋体"/>
          <w:szCs w:val="21"/>
        </w:rPr>
        <w:t>年纯正的、专业化的保修和技术支持且在保修期内所有故障配件免费更换。</w:t>
      </w:r>
    </w:p>
    <w:p>
      <w:pPr>
        <w:spacing w:line="360" w:lineRule="auto"/>
        <w:ind w:firstLine="435"/>
        <w:rPr>
          <w:rFonts w:ascii="宋体" w:hAnsi="宋体"/>
          <w:szCs w:val="21"/>
        </w:rPr>
      </w:pPr>
      <w:r>
        <w:rPr>
          <w:rFonts w:hint="eastAsia" w:ascii="宋体" w:hAnsi="宋体"/>
          <w:szCs w:val="21"/>
        </w:rPr>
        <w:t xml:space="preserve">3. 我方此次向贵方提供的产品名称为：；规格型号：；我方保证：该产品既非试验产品也非积压产品，而是成熟产品，且出厂日期在采购人收到日期前12个月内经检验合格的产品；在可以预见的 </w:t>
      </w:r>
      <w:r>
        <w:rPr>
          <w:rFonts w:hint="eastAsia" w:ascii="宋体" w:hAnsi="宋体"/>
          <w:szCs w:val="21"/>
          <w:u w:val="single"/>
        </w:rPr>
        <w:t>360（天）</w:t>
      </w:r>
      <w:r>
        <w:rPr>
          <w:rFonts w:hint="eastAsia" w:ascii="宋体" w:hAnsi="宋体"/>
          <w:szCs w:val="21"/>
        </w:rPr>
        <w:t xml:space="preserve">内，我方没有对该型号产品进行停产、淘汰的计划。    </w:t>
      </w:r>
    </w:p>
    <w:p>
      <w:pPr>
        <w:spacing w:line="360" w:lineRule="auto"/>
        <w:ind w:firstLine="435"/>
        <w:rPr>
          <w:rFonts w:ascii="宋体" w:hAnsi="宋体"/>
          <w:szCs w:val="21"/>
        </w:rPr>
      </w:pPr>
      <w:r>
        <w:rPr>
          <w:rFonts w:hint="eastAsia" w:ascii="宋体" w:hAnsi="宋体"/>
          <w:szCs w:val="21"/>
        </w:rPr>
        <w:t>4. 我方承诺将及时提请贵方关注：相关产品的生产、供货、售后服务以及性能等方面的重大变更：</w:t>
      </w:r>
    </w:p>
    <w:p>
      <w:pPr>
        <w:spacing w:line="360" w:lineRule="auto"/>
        <w:ind w:firstLine="435"/>
        <w:rPr>
          <w:rFonts w:ascii="宋体" w:hAnsi="宋体"/>
          <w:szCs w:val="21"/>
          <w:u w:val="single"/>
        </w:rPr>
      </w:pPr>
      <w:r>
        <w:rPr>
          <w:rFonts w:hint="eastAsia" w:ascii="宋体" w:hAnsi="宋体"/>
          <w:szCs w:val="21"/>
          <w:u w:val="single"/>
        </w:rPr>
        <w:t>　　　  _                                  _</w:t>
      </w:r>
    </w:p>
    <w:p>
      <w:pPr>
        <w:spacing w:line="360" w:lineRule="auto"/>
        <w:ind w:firstLine="435"/>
        <w:rPr>
          <w:rFonts w:ascii="宋体" w:hAnsi="宋体"/>
          <w:szCs w:val="21"/>
        </w:rPr>
      </w:pPr>
      <w:r>
        <w:rPr>
          <w:rFonts w:hint="eastAsia" w:ascii="宋体" w:hAnsi="宋体"/>
          <w:szCs w:val="21"/>
          <w:u w:val="single"/>
        </w:rPr>
        <w:t>　　　　                                       _</w:t>
      </w:r>
    </w:p>
    <w:p>
      <w:pPr>
        <w:spacing w:line="360" w:lineRule="auto"/>
        <w:ind w:firstLine="435"/>
        <w:rPr>
          <w:rFonts w:ascii="宋体" w:hAnsi="宋体"/>
          <w:szCs w:val="21"/>
        </w:rPr>
      </w:pPr>
      <w:r>
        <w:rPr>
          <w:rFonts w:hint="eastAsia" w:ascii="宋体" w:hAnsi="宋体"/>
          <w:szCs w:val="21"/>
        </w:rPr>
        <w:t>5、我方同意按照贵方要求提供与投标有关的一切数据或资料。</w:t>
      </w:r>
    </w:p>
    <w:p>
      <w:pPr>
        <w:spacing w:line="360" w:lineRule="auto"/>
        <w:ind w:firstLine="435"/>
        <w:rPr>
          <w:rFonts w:ascii="宋体" w:hAnsi="宋体"/>
          <w:szCs w:val="21"/>
        </w:rPr>
      </w:pPr>
    </w:p>
    <w:p>
      <w:pPr>
        <w:spacing w:line="360" w:lineRule="auto"/>
        <w:rPr>
          <w:rFonts w:ascii="宋体" w:hAnsi="宋体"/>
          <w:szCs w:val="21"/>
        </w:rPr>
      </w:pPr>
    </w:p>
    <w:p>
      <w:pPr>
        <w:spacing w:line="360" w:lineRule="auto"/>
        <w:rPr>
          <w:szCs w:val="21"/>
        </w:rPr>
      </w:pPr>
      <w:r>
        <w:rPr>
          <w:rFonts w:hint="eastAsia"/>
          <w:szCs w:val="21"/>
        </w:rPr>
        <w:t xml:space="preserve"> 厂家/中国总代理：                                     中标代理商/经销商：</w:t>
      </w:r>
    </w:p>
    <w:p>
      <w:pPr>
        <w:spacing w:line="360" w:lineRule="auto"/>
        <w:ind w:firstLine="315" w:firstLineChars="150"/>
        <w:rPr>
          <w:szCs w:val="21"/>
        </w:rPr>
      </w:pPr>
    </w:p>
    <w:p>
      <w:pPr>
        <w:spacing w:line="360" w:lineRule="auto"/>
        <w:rPr>
          <w:szCs w:val="21"/>
        </w:rPr>
      </w:pPr>
      <w:r>
        <w:rPr>
          <w:rFonts w:hint="eastAsia"/>
          <w:szCs w:val="21"/>
        </w:rPr>
        <w:t xml:space="preserve"> 电话：                                                电话：</w:t>
      </w:r>
    </w:p>
    <w:p>
      <w:pPr>
        <w:spacing w:line="360" w:lineRule="auto"/>
        <w:ind w:firstLine="315" w:firstLineChars="150"/>
        <w:rPr>
          <w:szCs w:val="21"/>
        </w:rPr>
      </w:pPr>
    </w:p>
    <w:p>
      <w:pPr>
        <w:spacing w:line="360" w:lineRule="auto"/>
        <w:rPr>
          <w:szCs w:val="21"/>
        </w:rPr>
      </w:pPr>
      <w:r>
        <w:rPr>
          <w:rFonts w:hint="eastAsia"/>
          <w:szCs w:val="21"/>
        </w:rPr>
        <w:t xml:space="preserve"> 盖章：                                                盖章：</w:t>
      </w:r>
    </w:p>
    <w:p>
      <w:pPr>
        <w:spacing w:line="360" w:lineRule="auto"/>
        <w:ind w:firstLine="435"/>
        <w:rPr>
          <w:rFonts w:ascii="宋体" w:hAnsi="宋体"/>
          <w:szCs w:val="21"/>
        </w:rPr>
      </w:pPr>
    </w:p>
    <w:p>
      <w:pPr>
        <w:rPr>
          <w:rFonts w:ascii="宋体" w:hAnsi="宋体"/>
          <w:szCs w:val="21"/>
        </w:rPr>
      </w:pPr>
      <w:r>
        <w:rPr>
          <w:rFonts w:hint="eastAsia" w:ascii="宋体" w:hAnsi="宋体"/>
          <w:szCs w:val="21"/>
        </w:rPr>
        <w:t xml:space="preserve"> 日期：   年   月    日                                日期：   年    月    日</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pStyle w:val="26"/>
        <w:spacing w:line="360" w:lineRule="auto"/>
        <w:jc w:val="left"/>
        <w:rPr>
          <w:rFonts w:hAnsi="宋体"/>
        </w:rPr>
      </w:pPr>
      <w:r>
        <w:rPr>
          <w:rFonts w:hint="eastAsia" w:hAnsi="宋体" w:cs="宋体"/>
          <w:color w:val="3C3C3C"/>
          <w:kern w:val="0"/>
          <w:sz w:val="24"/>
        </w:rPr>
        <w:t>附件3：</w:t>
      </w:r>
      <w:r>
        <w:rPr>
          <w:rFonts w:hint="eastAsia" w:hAnsi="宋体"/>
        </w:rPr>
        <w:t>每年二次的维护计划</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br w:type="textWrapping"/>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jc w:val="left"/>
        <w:rPr>
          <w:b/>
          <w:szCs w:val="21"/>
        </w:rPr>
      </w:pPr>
      <w:r>
        <w:rPr>
          <w:b/>
          <w:szCs w:val="21"/>
        </w:rPr>
        <w:br w:type="textWrapping"/>
      </w: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widowControl/>
        <w:jc w:val="left"/>
        <w:rPr>
          <w:rFonts w:ascii="宋体" w:hAnsi="宋体" w:cs="宋体"/>
          <w:color w:val="3C3C3C"/>
          <w:kern w:val="0"/>
          <w:sz w:val="24"/>
        </w:rPr>
      </w:pPr>
      <w:r>
        <w:rPr>
          <w:rFonts w:hint="eastAsia" w:ascii="宋体" w:hAnsi="宋体" w:cs="宋体"/>
          <w:color w:val="3C3C3C"/>
          <w:kern w:val="0"/>
          <w:sz w:val="24"/>
        </w:rPr>
        <w:t>附件4：</w:t>
      </w:r>
      <w:r>
        <w:rPr>
          <w:rFonts w:hint="eastAsia" w:hAnsi="宋体"/>
        </w:rPr>
        <w:t>应急措施和应急方案；</w:t>
      </w: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spacing w:line="360" w:lineRule="auto"/>
        <w:jc w:val="left"/>
        <w:rPr>
          <w:rFonts w:ascii="宋体" w:hAnsi="宋体" w:cs="宋体"/>
          <w:color w:val="3C3C3C"/>
          <w:kern w:val="0"/>
          <w:sz w:val="24"/>
        </w:rPr>
      </w:pPr>
      <w:r>
        <w:rPr>
          <w:rFonts w:hint="eastAsia" w:ascii="宋体" w:hAnsi="宋体" w:cs="宋体"/>
          <w:color w:val="3C3C3C"/>
          <w:kern w:val="0"/>
          <w:sz w:val="24"/>
        </w:rPr>
        <w:t>附件5：</w:t>
      </w:r>
      <w:r>
        <w:rPr>
          <w:rFonts w:hint="eastAsia" w:hAnsi="宋体"/>
        </w:rPr>
        <w:t>技术偏离表</w:t>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spacing w:line="360" w:lineRule="auto"/>
        <w:jc w:val="left"/>
        <w:rPr>
          <w:rFonts w:ascii="宋体" w:hAnsi="宋体" w:cs="宋体"/>
          <w:color w:val="3C3C3C"/>
          <w:kern w:val="0"/>
          <w:sz w:val="24"/>
        </w:rPr>
      </w:pPr>
      <w:r>
        <w:rPr>
          <w:rFonts w:hint="eastAsia" w:ascii="宋体" w:hAnsi="宋体" w:cs="宋体"/>
          <w:color w:val="3C3C3C"/>
          <w:kern w:val="0"/>
          <w:sz w:val="24"/>
        </w:rPr>
        <w:t>附件6：三证</w:t>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spacing w:line="360" w:lineRule="auto"/>
        <w:jc w:val="left"/>
        <w:rPr>
          <w:rFonts w:ascii="宋体" w:hAnsi="宋体"/>
          <w:szCs w:val="21"/>
        </w:rPr>
      </w:pPr>
      <w:r>
        <w:rPr>
          <w:rFonts w:hint="eastAsia" w:ascii="宋体" w:hAnsi="宋体" w:cs="宋体"/>
          <w:color w:val="3C3C3C"/>
          <w:kern w:val="0"/>
          <w:sz w:val="24"/>
        </w:rPr>
        <w:t>附件7：</w:t>
      </w:r>
      <w:r>
        <w:rPr>
          <w:rFonts w:hint="eastAsia"/>
          <w:sz w:val="24"/>
        </w:rPr>
        <w:t>中标通知书</w:t>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spacing w:line="360" w:lineRule="auto"/>
        <w:jc w:val="left"/>
        <w:rPr>
          <w:rFonts w:ascii="宋体" w:hAnsi="宋体" w:cs="宋体"/>
          <w:color w:val="3C3C3C"/>
          <w:kern w:val="0"/>
          <w:sz w:val="24"/>
        </w:rPr>
      </w:pPr>
      <w:r>
        <w:rPr>
          <w:rFonts w:hint="eastAsia"/>
          <w:sz w:val="24"/>
        </w:rPr>
        <w:t>附件8：</w:t>
      </w:r>
      <w:r>
        <w:rPr>
          <w:rFonts w:hint="eastAsia" w:ascii="宋体" w:hAnsi="宋体" w:cs="宋体"/>
          <w:color w:val="3C3C3C"/>
          <w:kern w:val="0"/>
          <w:sz w:val="24"/>
        </w:rPr>
        <w:t>：廉洁协议</w:t>
      </w:r>
    </w:p>
    <w:p>
      <w:pPr>
        <w:widowControl/>
        <w:spacing w:line="360" w:lineRule="auto"/>
        <w:jc w:val="center"/>
        <w:rPr>
          <w:rFonts w:ascii="宋体" w:hAnsi="宋体" w:cs="宋体"/>
          <w:b/>
          <w:color w:val="3C3C3C"/>
          <w:kern w:val="0"/>
          <w:sz w:val="32"/>
          <w:szCs w:val="32"/>
        </w:rPr>
      </w:pPr>
      <w:r>
        <w:rPr>
          <w:rFonts w:hint="eastAsia" w:ascii="宋体" w:hAnsi="宋体" w:cs="宋体"/>
          <w:b/>
          <w:color w:val="3C3C3C"/>
          <w:kern w:val="0"/>
          <w:sz w:val="32"/>
          <w:szCs w:val="32"/>
        </w:rPr>
        <w:t>中山大学附属第八医院医药产品廉洁购销协议</w:t>
      </w:r>
    </w:p>
    <w:p>
      <w:pPr>
        <w:tabs>
          <w:tab w:val="left" w:pos="780"/>
        </w:tabs>
        <w:spacing w:line="360" w:lineRule="auto"/>
        <w:rPr>
          <w:rFonts w:ascii="宋体" w:hAnsi="宋体"/>
          <w:szCs w:val="21"/>
        </w:rPr>
      </w:pPr>
      <w:r>
        <w:rPr>
          <w:rFonts w:hint="eastAsia" w:ascii="宋体" w:hAnsi="宋体"/>
          <w:szCs w:val="21"/>
        </w:rPr>
        <w:t>甲方：中山大学附属第八医院(深圳福田)</w:t>
      </w:r>
    </w:p>
    <w:p>
      <w:pPr>
        <w:tabs>
          <w:tab w:val="left" w:pos="780"/>
        </w:tabs>
        <w:spacing w:line="360" w:lineRule="auto"/>
        <w:rPr>
          <w:rFonts w:ascii="宋体" w:hAnsi="宋体"/>
          <w:szCs w:val="21"/>
        </w:rPr>
      </w:pPr>
      <w:r>
        <w:rPr>
          <w:rFonts w:hint="eastAsia" w:ascii="宋体" w:hAnsi="宋体"/>
          <w:szCs w:val="21"/>
        </w:rPr>
        <w:t>乙方：</w:t>
      </w:r>
    </w:p>
    <w:p>
      <w:pPr>
        <w:tabs>
          <w:tab w:val="left" w:pos="780"/>
        </w:tabs>
        <w:spacing w:line="360" w:lineRule="auto"/>
        <w:rPr>
          <w:rFonts w:ascii="宋体" w:hAnsi="宋体"/>
          <w:szCs w:val="21"/>
        </w:rPr>
      </w:pPr>
      <w:r>
        <w:rPr>
          <w:rFonts w:hint="eastAsia" w:ascii="宋体" w:hAnsi="宋体"/>
          <w:szCs w:val="21"/>
        </w:rPr>
        <w:t xml:space="preserve">采购产品:      </w:t>
      </w:r>
    </w:p>
    <w:p>
      <w:pPr>
        <w:tabs>
          <w:tab w:val="left" w:pos="780"/>
        </w:tabs>
        <w:spacing w:line="360" w:lineRule="auto"/>
        <w:ind w:firstLine="420" w:firstLineChars="200"/>
        <w:rPr>
          <w:rFonts w:ascii="宋体" w:hAnsi="宋体"/>
          <w:szCs w:val="21"/>
        </w:rPr>
      </w:pPr>
      <w:r>
        <w:rPr>
          <w:rFonts w:hint="eastAsia" w:ascii="宋体" w:hAnsi="宋体"/>
          <w:szCs w:val="21"/>
        </w:rPr>
        <w:t>为加强医院管理，规范我院医药产品购销行为，有效防范商业贿赂，营造公平交易、诚实守信的购销环境，经甲、乙双方协商，同意签订本合同，并共同遵守：</w:t>
      </w:r>
    </w:p>
    <w:p>
      <w:pPr>
        <w:tabs>
          <w:tab w:val="left" w:pos="780"/>
        </w:tabs>
        <w:spacing w:line="360" w:lineRule="auto"/>
        <w:ind w:firstLine="420" w:firstLineChars="200"/>
        <w:rPr>
          <w:rFonts w:ascii="宋体" w:hAnsi="宋体"/>
          <w:szCs w:val="21"/>
        </w:rPr>
      </w:pPr>
      <w:r>
        <w:rPr>
          <w:rFonts w:hint="eastAsia" w:ascii="宋体" w:hAnsi="宋体"/>
          <w:szCs w:val="21"/>
        </w:rPr>
        <w:t>一、甲乙双方按照《中华人民共和国民法典》及医药产品购销合同约定购销药品、医用设备、医用耗材等医药产品。</w:t>
      </w:r>
    </w:p>
    <w:p>
      <w:pPr>
        <w:tabs>
          <w:tab w:val="left" w:pos="780"/>
        </w:tabs>
        <w:spacing w:line="360" w:lineRule="auto"/>
        <w:ind w:firstLine="420" w:firstLineChars="200"/>
        <w:rPr>
          <w:rFonts w:ascii="宋体" w:hAnsi="宋体"/>
          <w:szCs w:val="21"/>
        </w:rPr>
      </w:pPr>
      <w:r>
        <w:rPr>
          <w:rFonts w:hint="eastAsia" w:ascii="宋体" w:hAnsi="宋体"/>
          <w:szCs w:val="21"/>
        </w:rPr>
        <w:t>二、甲方应当严格执行医药产品购销合同验收、入库制度，对采购医药产品及发票进行查验，不得违反有关规定合同外采购、违价采购或从非规定渠道采购。</w:t>
      </w:r>
    </w:p>
    <w:p>
      <w:pPr>
        <w:tabs>
          <w:tab w:val="left" w:pos="780"/>
        </w:tabs>
        <w:spacing w:line="360" w:lineRule="auto"/>
        <w:ind w:firstLine="420" w:firstLineChars="200"/>
        <w:rPr>
          <w:rFonts w:ascii="宋体" w:hAnsi="宋体"/>
          <w:szCs w:val="21"/>
        </w:rPr>
      </w:pPr>
      <w:r>
        <w:rPr>
          <w:rFonts w:hint="eastAsia" w:ascii="宋体" w:hAnsi="宋体"/>
          <w:szCs w:val="21"/>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tabs>
          <w:tab w:val="left" w:pos="780"/>
        </w:tabs>
        <w:spacing w:line="360" w:lineRule="auto"/>
        <w:ind w:firstLine="420" w:firstLineChars="200"/>
        <w:rPr>
          <w:rFonts w:ascii="宋体" w:hAnsi="宋体"/>
          <w:szCs w:val="21"/>
        </w:rPr>
      </w:pPr>
      <w:r>
        <w:rPr>
          <w:rFonts w:hint="eastAsia" w:ascii="宋体" w:hAnsi="宋体"/>
          <w:szCs w:val="21"/>
        </w:rPr>
        <w:t>四、严禁甲方工作人员利用任何途径和方式，为乙方统计医师个人及临床科室有关医药产品用量信息，或为乙方统计提供便利。</w:t>
      </w:r>
    </w:p>
    <w:p>
      <w:pPr>
        <w:tabs>
          <w:tab w:val="left" w:pos="780"/>
        </w:tabs>
        <w:spacing w:line="360" w:lineRule="auto"/>
        <w:ind w:firstLine="420" w:firstLineChars="200"/>
        <w:rPr>
          <w:rFonts w:ascii="宋体" w:hAnsi="宋体"/>
          <w:szCs w:val="21"/>
        </w:rPr>
      </w:pPr>
      <w:r>
        <w:rPr>
          <w:rFonts w:hint="eastAsia" w:ascii="宋体" w:hAnsi="宋体"/>
          <w:szCs w:val="21"/>
        </w:rPr>
        <w:t>五、乙方不得以回扣、宴请等方式影响甲方工作人员采购或使用医药产品的选择权，不得在学术活动中提供旅游、超标准支付食宿费用。</w:t>
      </w:r>
    </w:p>
    <w:p>
      <w:pPr>
        <w:tabs>
          <w:tab w:val="left" w:pos="780"/>
        </w:tabs>
        <w:spacing w:line="360" w:lineRule="auto"/>
        <w:ind w:firstLine="420" w:firstLineChars="200"/>
        <w:rPr>
          <w:rFonts w:ascii="宋体" w:hAnsi="宋体"/>
          <w:szCs w:val="21"/>
        </w:rPr>
      </w:pPr>
      <w:r>
        <w:rPr>
          <w:rFonts w:hint="eastAsia" w:ascii="宋体" w:hAnsi="宋体"/>
          <w:szCs w:val="21"/>
        </w:rPr>
        <w:t>六、乙方指定作为销售代表洽谈业务。销售代表必须在工作时间到甲方指定地点联系商谈，不得到住院部、门诊部、医技科室等推销医药产品，不得借故到甲方相关领导、部门负责人及相关工作人员家中访谈并提供任何好处费。</w:t>
      </w:r>
    </w:p>
    <w:p>
      <w:pPr>
        <w:tabs>
          <w:tab w:val="left" w:pos="780"/>
        </w:tabs>
        <w:spacing w:line="360" w:lineRule="auto"/>
        <w:ind w:firstLine="420" w:firstLineChars="200"/>
        <w:rPr>
          <w:rFonts w:ascii="宋体" w:hAnsi="宋体"/>
          <w:szCs w:val="21"/>
        </w:rPr>
      </w:pPr>
      <w:r>
        <w:rPr>
          <w:rFonts w:hint="eastAsia" w:ascii="宋体" w:hAnsi="宋体"/>
          <w:szCs w:val="21"/>
        </w:rPr>
        <w:t>七、乙方如违反本合同，一经发现，甲方有权终止购销合同，并向有关卫生计生行政部门报告。如乙方被列入商业贿赂不良记录，则严格按照《国家卫生计生委关于建立医药购销领域商业贿赂不良记录的规定》（国卫法制发[2013]50号）相关规定处理。</w:t>
      </w:r>
    </w:p>
    <w:p>
      <w:pPr>
        <w:tabs>
          <w:tab w:val="left" w:pos="780"/>
        </w:tabs>
        <w:spacing w:line="360" w:lineRule="auto"/>
        <w:ind w:firstLine="420" w:firstLineChars="200"/>
        <w:rPr>
          <w:rFonts w:ascii="宋体" w:hAnsi="宋体"/>
          <w:szCs w:val="21"/>
        </w:rPr>
      </w:pPr>
      <w:r>
        <w:rPr>
          <w:rFonts w:hint="eastAsia" w:ascii="宋体" w:hAnsi="宋体"/>
          <w:szCs w:val="21"/>
        </w:rPr>
        <w:t>八、本合同作为医药产品购销合同的重要组成部分，与购销合同一并执行，具有同等的法律效力。</w:t>
      </w:r>
    </w:p>
    <w:p>
      <w:pPr>
        <w:tabs>
          <w:tab w:val="left" w:pos="780"/>
        </w:tabs>
        <w:spacing w:line="360" w:lineRule="auto"/>
        <w:ind w:firstLine="420" w:firstLineChars="200"/>
        <w:rPr>
          <w:rFonts w:ascii="宋体" w:hAnsi="宋体"/>
          <w:szCs w:val="21"/>
        </w:rPr>
      </w:pPr>
      <w:r>
        <w:rPr>
          <w:rFonts w:hint="eastAsia" w:ascii="宋体" w:hAnsi="宋体"/>
          <w:szCs w:val="21"/>
        </w:rPr>
        <w:t>九、本合同一式五份，乙方执一份，甲方执四份，并从签订之日起生效。</w:t>
      </w:r>
    </w:p>
    <w:p>
      <w:pPr>
        <w:tabs>
          <w:tab w:val="left" w:pos="780"/>
        </w:tabs>
        <w:spacing w:line="360" w:lineRule="auto"/>
        <w:ind w:firstLine="420" w:firstLineChars="200"/>
        <w:rPr>
          <w:rFonts w:ascii="宋体" w:hAnsi="宋体"/>
          <w:szCs w:val="21"/>
        </w:rPr>
      </w:pPr>
      <w:r>
        <w:rPr>
          <w:rFonts w:hint="eastAsia" w:ascii="宋体" w:hAnsi="宋体"/>
          <w:szCs w:val="21"/>
        </w:rPr>
        <w:t>甲方（盖章）：                        乙方（盖章）：</w:t>
      </w:r>
    </w:p>
    <w:p>
      <w:pPr>
        <w:tabs>
          <w:tab w:val="left" w:pos="780"/>
        </w:tabs>
        <w:spacing w:line="360" w:lineRule="auto"/>
        <w:ind w:firstLine="420" w:firstLineChars="200"/>
        <w:rPr>
          <w:rFonts w:ascii="宋体" w:hAnsi="宋体"/>
          <w:szCs w:val="21"/>
        </w:rPr>
      </w:pPr>
      <w:r>
        <w:rPr>
          <w:rFonts w:hint="eastAsia" w:ascii="宋体" w:hAnsi="宋体"/>
          <w:szCs w:val="21"/>
        </w:rPr>
        <w:t xml:space="preserve">负责人:                              负责人:    </w:t>
      </w:r>
    </w:p>
    <w:p>
      <w:pPr>
        <w:tabs>
          <w:tab w:val="left" w:pos="780"/>
        </w:tabs>
        <w:spacing w:line="360" w:lineRule="auto"/>
        <w:ind w:firstLine="420" w:firstLineChars="200"/>
      </w:pPr>
      <w:r>
        <w:rPr>
          <w:rFonts w:hint="eastAsia" w:ascii="宋体" w:hAnsi="宋体"/>
          <w:szCs w:val="21"/>
        </w:rPr>
        <w:t xml:space="preserve">    年   月   日                                   年   月   日</w:t>
      </w:r>
    </w:p>
    <w:p>
      <w:pPr>
        <w:pStyle w:val="2"/>
      </w:pPr>
      <w:bookmarkStart w:id="83" w:name="_Toc73610161"/>
      <w:r>
        <w:rPr>
          <w:rFonts w:hint="eastAsia"/>
        </w:rPr>
        <w:t>第九章  附件</w:t>
      </w:r>
      <w:bookmarkEnd w:id="83"/>
    </w:p>
    <w:p>
      <w:pPr>
        <w:pStyle w:val="3"/>
        <w:spacing w:before="0" w:after="0"/>
        <w:jc w:val="center"/>
      </w:pPr>
      <w:bookmarkStart w:id="84" w:name="_Toc73610162"/>
      <w:r>
        <w:rPr>
          <w:rFonts w:hint="eastAsia"/>
        </w:rPr>
        <w:t>一、财政部 工业和信息化部关于印发《政府采购促进中小企业发展管理办法》的通知</w:t>
      </w:r>
      <w:bookmarkEnd w:id="84"/>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3"/>
        <w:spacing w:before="0" w:after="0"/>
        <w:jc w:val="center"/>
      </w:pPr>
      <w:bookmarkStart w:id="85" w:name="_Toc73610163"/>
      <w:r>
        <w:rPr>
          <w:rFonts w:hint="eastAsia"/>
        </w:rPr>
        <w:t>二、关于印发中小企业划型标准规定的通知</w:t>
      </w:r>
      <w:bookmarkEnd w:id="85"/>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各省、自治区、直辖市人民政府，国务院各部委、各直属机构及有关单位：</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45"/>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工业和信息化部　国家统计局</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国家发展和改革委员会　财政部</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二○一一年六月十八日</w:t>
      </w:r>
    </w:p>
    <w:p>
      <w:pPr>
        <w:pStyle w:val="45"/>
        <w:shd w:val="clear" w:color="auto" w:fill="FFFFFF"/>
        <w:spacing w:line="360" w:lineRule="auto"/>
        <w:jc w:val="center"/>
        <w:rPr>
          <w:rFonts w:asciiTheme="minorEastAsia" w:hAnsiTheme="minorEastAsia" w:eastAsiaTheme="minorEastAsia"/>
          <w:color w:val="000000"/>
          <w:sz w:val="21"/>
          <w:szCs w:val="21"/>
        </w:rPr>
      </w:pPr>
      <w:r>
        <w:rPr>
          <w:rStyle w:val="53"/>
          <w:rFonts w:hint="eastAsia" w:asciiTheme="minorEastAsia" w:hAnsiTheme="minorEastAsia" w:eastAsiaTheme="minorEastAsia"/>
          <w:color w:val="000000"/>
          <w:sz w:val="21"/>
          <w:szCs w:val="21"/>
        </w:rPr>
        <w:t>中小企业划型标准规定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四、各行业划型标准为：</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五、企业类型的划分以统计部门的统计数据为依据。</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九、本规定由工业和信息化部、国家统计局会同有关部门负责解释。</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45"/>
        <w:shd w:val="clear" w:color="auto" w:fill="FFFFFF"/>
        <w:spacing w:line="360" w:lineRule="auto"/>
        <w:rPr>
          <w:rFonts w:asciiTheme="minorEastAsia" w:hAnsiTheme="minorEastAsia" w:eastAsiaTheme="minorEastAsia"/>
          <w:color w:val="000000"/>
          <w:sz w:val="21"/>
          <w:szCs w:val="21"/>
        </w:rPr>
      </w:pPr>
    </w:p>
    <w:p>
      <w:pPr>
        <w:pStyle w:val="3"/>
        <w:spacing w:before="0" w:after="0"/>
        <w:jc w:val="center"/>
        <w:rPr>
          <w:rFonts w:asciiTheme="minorEastAsia" w:hAnsiTheme="minorEastAsia" w:eastAsiaTheme="minorEastAsia"/>
        </w:rPr>
      </w:pPr>
      <w:bookmarkStart w:id="86" w:name="_Toc73610164"/>
      <w:r>
        <w:rPr>
          <w:rFonts w:hint="eastAsia" w:asciiTheme="minorEastAsia" w:hAnsiTheme="minorEastAsia" w:eastAsiaTheme="minorEastAsia"/>
          <w:bCs w:val="0"/>
        </w:rPr>
        <w:t>三、</w:t>
      </w:r>
      <w:r>
        <w:rPr>
          <w:rFonts w:asciiTheme="minorEastAsia" w:hAnsiTheme="minorEastAsia" w:eastAsiaTheme="minorEastAsia"/>
          <w:bCs w:val="0"/>
        </w:rPr>
        <w:t>国家统计局关于印发《统计上大中小微型企业划分办法 （2017）》的通知</w:t>
      </w:r>
      <w:bookmarkEnd w:id="86"/>
      <w:r>
        <w:rPr>
          <w:rFonts w:asciiTheme="minorEastAsia" w:hAnsiTheme="minorEastAsia" w:eastAsiaTheme="minorEastAsia"/>
          <w:bCs w:val="0"/>
        </w:rPr>
        <w:t> </w:t>
      </w:r>
    </w:p>
    <w:p>
      <w:pPr>
        <w:widowControl/>
        <w:shd w:val="clear" w:color="auto" w:fill="FFFFFF"/>
        <w:spacing w:line="360" w:lineRule="auto"/>
        <w:jc w:val="left"/>
        <w:rPr>
          <w:rFonts w:cs="Arial" w:asciiTheme="minorEastAsia" w:hAnsiTheme="minorEastAsia" w:eastAsiaTheme="minorEastAsia"/>
          <w:color w:val="999999"/>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3"/>
        <w:spacing w:before="0" w:after="0"/>
        <w:jc w:val="center"/>
      </w:pPr>
      <w:bookmarkStart w:id="87" w:name="_Toc73610165"/>
      <w:r>
        <w:rPr>
          <w:rFonts w:hint="eastAsia"/>
        </w:rPr>
        <w:t>四、</w:t>
      </w:r>
      <w:r>
        <w:t>财政部 民政部 中国残疾人联合会关于促进残疾人就业 政府采购政策的通知</w:t>
      </w:r>
      <w:bookmarkEnd w:id="87"/>
    </w:p>
    <w:p>
      <w:pPr>
        <w:pStyle w:val="45"/>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asciiTheme="minorEastAsia" w:hAnsiTheme="minorEastAsia" w:eastAsiaTheme="minorEastAsia"/>
          <w:szCs w:val="21"/>
        </w:rPr>
      </w:pPr>
      <w:r>
        <w:rPr>
          <w:rFonts w:hint="eastAsia" w:cs="宋体" w:asciiTheme="minorEastAsia" w:hAnsiTheme="minorEastAsia" w:eastAsiaTheme="minorEastAsia"/>
          <w:kern w:val="0"/>
          <w:szCs w:val="21"/>
        </w:rPr>
        <w:t>  2017年8月22日</w:t>
      </w: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ˎ̥">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auto"/>
    <w:pitch w:val="default"/>
    <w:sig w:usb0="00000000" w:usb1="00000000" w:usb2="0000001E" w:usb3="00000000" w:csb0="00040000" w:csb1="00000000"/>
  </w:font>
  <w:font w:name="MS Mincho">
    <w:panose1 w:val="02020609040205080304"/>
    <w:charset w:val="80"/>
    <w:family w:val="moder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49</w:t>
    </w:r>
    <w:r>
      <w:rPr>
        <w:rStyle w:val="54"/>
      </w:rPr>
      <w:fldChar w:fldCharType="end"/>
    </w:r>
  </w:p>
  <w:p>
    <w:pPr>
      <w:pStyle w:val="3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rPr>
        <w:rFonts w:asciiTheme="minorEastAsia" w:hAnsiTheme="minorEastAsia" w:eastAsiaTheme="minorEastAsia"/>
      </w:rPr>
    </w:pPr>
    <w:r>
      <w:tab/>
    </w:r>
    <w:r>
      <w:rPr>
        <w:rFonts w:hint="eastAsia" w:asciiTheme="minorEastAsia" w:hAnsiTheme="minorEastAsia" w:eastAsiaTheme="minorEastAsia"/>
      </w:rPr>
      <w:t>项目名称：动脉硬化检测装置采购                                                   项目编号：SZZZ2022-QA0141</w:t>
    </w:r>
  </w:p>
  <w:p>
    <w:pPr>
      <w:pStyle w:val="32"/>
      <w:tabs>
        <w:tab w:val="center" w:pos="4819"/>
        <w:tab w:val="right" w:pos="9638"/>
      </w:tabs>
      <w:jc w:val="left"/>
      <w:rPr>
        <w:rFonts w:hint="default" w:eastAsia="宋体"/>
        <w:u w:val="single"/>
        <w:lang w:val="en-US" w:eastAsia="zh-CN"/>
      </w:rPr>
    </w:pPr>
    <w:r>
      <w:rPr>
        <w:u w:val="single"/>
      </w:rPr>
      <w:tab/>
    </w:r>
    <w:r>
      <w:rPr>
        <w:u w:val="single"/>
      </w:rPr>
      <w:tab/>
    </w:r>
    <w:r>
      <w:rPr>
        <w:rFonts w:hint="eastAsia"/>
        <w:u w:val="single"/>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6"/>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6"/>
      <w:lvlText w:val="%5)"/>
      <w:lvlJc w:val="left"/>
      <w:pPr>
        <w:tabs>
          <w:tab w:val="left" w:pos="2111"/>
        </w:tabs>
        <w:ind w:left="2111" w:hanging="420"/>
      </w:pPr>
    </w:lvl>
    <w:lvl w:ilvl="5" w:tentative="0">
      <w:start w:val="1"/>
      <w:numFmt w:val="lowerRoman"/>
      <w:pStyle w:val="8"/>
      <w:lvlText w:val="%6."/>
      <w:lvlJc w:val="right"/>
      <w:pPr>
        <w:tabs>
          <w:tab w:val="left" w:pos="2531"/>
        </w:tabs>
        <w:ind w:left="2531" w:hanging="420"/>
      </w:pPr>
    </w:lvl>
    <w:lvl w:ilvl="6" w:tentative="0">
      <w:start w:val="1"/>
      <w:numFmt w:val="decimal"/>
      <w:pStyle w:val="9"/>
      <w:lvlText w:val="%7."/>
      <w:lvlJc w:val="left"/>
      <w:pPr>
        <w:tabs>
          <w:tab w:val="left" w:pos="2951"/>
        </w:tabs>
        <w:ind w:left="2951" w:hanging="420"/>
      </w:pPr>
    </w:lvl>
    <w:lvl w:ilvl="7" w:tentative="0">
      <w:start w:val="1"/>
      <w:numFmt w:val="lowerLetter"/>
      <w:pStyle w:val="10"/>
      <w:lvlText w:val="%8)"/>
      <w:lvlJc w:val="left"/>
      <w:pPr>
        <w:tabs>
          <w:tab w:val="left" w:pos="3371"/>
        </w:tabs>
        <w:ind w:left="3371" w:hanging="420"/>
      </w:pPr>
    </w:lvl>
    <w:lvl w:ilvl="8" w:tentative="0">
      <w:start w:val="1"/>
      <w:numFmt w:val="lowerRoman"/>
      <w:pStyle w:val="11"/>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D241FC3"/>
    <w:multiLevelType w:val="multilevel"/>
    <w:tmpl w:val="1D241FC3"/>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268B655E"/>
    <w:multiLevelType w:val="multilevel"/>
    <w:tmpl w:val="268B655E"/>
    <w:lvl w:ilvl="0" w:tentative="0">
      <w:start w:val="8"/>
      <w:numFmt w:val="decimal"/>
      <w:lvlText w:val="%1"/>
      <w:lvlJc w:val="left"/>
      <w:pPr>
        <w:ind w:left="360" w:hanging="360"/>
      </w:pPr>
      <w:rPr>
        <w:rFonts w:hint="default"/>
      </w:rPr>
    </w:lvl>
    <w:lvl w:ilvl="1" w:tentative="0">
      <w:start w:val="2"/>
      <w:numFmt w:val="decimal"/>
      <w:lvlText w:val="%1.%2"/>
      <w:lvlJc w:val="left"/>
      <w:pPr>
        <w:ind w:left="780" w:hanging="360"/>
      </w:pPr>
      <w:rPr>
        <w:rFonts w:hint="default"/>
      </w:rPr>
    </w:lvl>
    <w:lvl w:ilvl="2" w:tentative="0">
      <w:start w:val="1"/>
      <w:numFmt w:val="decimal"/>
      <w:lvlText w:val="%1.%2.%3"/>
      <w:lvlJc w:val="left"/>
      <w:pPr>
        <w:ind w:left="1560" w:hanging="720"/>
      </w:pPr>
      <w:rPr>
        <w:rFonts w:hint="default"/>
      </w:rPr>
    </w:lvl>
    <w:lvl w:ilvl="3" w:tentative="0">
      <w:start w:val="1"/>
      <w:numFmt w:val="decimal"/>
      <w:lvlText w:val="%1.%2.%3.%4"/>
      <w:lvlJc w:val="left"/>
      <w:pPr>
        <w:ind w:left="2340" w:hanging="1080"/>
      </w:pPr>
      <w:rPr>
        <w:rFonts w:hint="default"/>
      </w:rPr>
    </w:lvl>
    <w:lvl w:ilvl="4" w:tentative="0">
      <w:start w:val="1"/>
      <w:numFmt w:val="decimal"/>
      <w:lvlText w:val="%1.%2.%3.%4.%5"/>
      <w:lvlJc w:val="left"/>
      <w:pPr>
        <w:ind w:left="2760" w:hanging="1080"/>
      </w:pPr>
      <w:rPr>
        <w:rFonts w:hint="default"/>
      </w:rPr>
    </w:lvl>
    <w:lvl w:ilvl="5" w:tentative="0">
      <w:start w:val="1"/>
      <w:numFmt w:val="decimal"/>
      <w:lvlText w:val="%1.%2.%3.%4.%5.%6"/>
      <w:lvlJc w:val="left"/>
      <w:pPr>
        <w:ind w:left="3540" w:hanging="1440"/>
      </w:pPr>
      <w:rPr>
        <w:rFonts w:hint="default"/>
      </w:rPr>
    </w:lvl>
    <w:lvl w:ilvl="6" w:tentative="0">
      <w:start w:val="1"/>
      <w:numFmt w:val="decimal"/>
      <w:lvlText w:val="%1.%2.%3.%4.%5.%6.%7"/>
      <w:lvlJc w:val="left"/>
      <w:pPr>
        <w:ind w:left="3960" w:hanging="1440"/>
      </w:pPr>
      <w:rPr>
        <w:rFonts w:hint="default"/>
      </w:rPr>
    </w:lvl>
    <w:lvl w:ilvl="7" w:tentative="0">
      <w:start w:val="1"/>
      <w:numFmt w:val="decimal"/>
      <w:lvlText w:val="%1.%2.%3.%4.%5.%6.%7.%8"/>
      <w:lvlJc w:val="left"/>
      <w:pPr>
        <w:ind w:left="4740" w:hanging="1800"/>
      </w:pPr>
      <w:rPr>
        <w:rFonts w:hint="default"/>
      </w:rPr>
    </w:lvl>
    <w:lvl w:ilvl="8" w:tentative="0">
      <w:start w:val="1"/>
      <w:numFmt w:val="decimal"/>
      <w:lvlText w:val="%1.%2.%3.%4.%5.%6.%7.%8.%9"/>
      <w:lvlJc w:val="left"/>
      <w:pPr>
        <w:ind w:left="5160" w:hanging="1800"/>
      </w:pPr>
      <w:rPr>
        <w:rFonts w:hint="default"/>
      </w:rPr>
    </w:lvl>
  </w:abstractNum>
  <w:abstractNum w:abstractNumId="5">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VlOWY4ZDBhYWExNjhhMjc2ZTRiNjcxMTg3MmEyNzkifQ=="/>
  </w:docVars>
  <w:rsids>
    <w:rsidRoot w:val="00172A27"/>
    <w:rsid w:val="0000124D"/>
    <w:rsid w:val="0000134D"/>
    <w:rsid w:val="000035D6"/>
    <w:rsid w:val="000036D6"/>
    <w:rsid w:val="00003921"/>
    <w:rsid w:val="000039AF"/>
    <w:rsid w:val="00003A46"/>
    <w:rsid w:val="000042A3"/>
    <w:rsid w:val="00004906"/>
    <w:rsid w:val="000049DE"/>
    <w:rsid w:val="00004AF7"/>
    <w:rsid w:val="00004FC4"/>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940"/>
    <w:rsid w:val="00015AF5"/>
    <w:rsid w:val="00016458"/>
    <w:rsid w:val="000165EF"/>
    <w:rsid w:val="00016FC3"/>
    <w:rsid w:val="000208F8"/>
    <w:rsid w:val="00021304"/>
    <w:rsid w:val="0002197F"/>
    <w:rsid w:val="00022C27"/>
    <w:rsid w:val="00022F4F"/>
    <w:rsid w:val="00022FA9"/>
    <w:rsid w:val="000250AF"/>
    <w:rsid w:val="00025B21"/>
    <w:rsid w:val="00025D5B"/>
    <w:rsid w:val="00026249"/>
    <w:rsid w:val="00026613"/>
    <w:rsid w:val="00026BDD"/>
    <w:rsid w:val="00027415"/>
    <w:rsid w:val="000274F7"/>
    <w:rsid w:val="000307C5"/>
    <w:rsid w:val="00030D77"/>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22A"/>
    <w:rsid w:val="00040784"/>
    <w:rsid w:val="00041122"/>
    <w:rsid w:val="000414AB"/>
    <w:rsid w:val="00042758"/>
    <w:rsid w:val="0004315F"/>
    <w:rsid w:val="00043926"/>
    <w:rsid w:val="00043D2B"/>
    <w:rsid w:val="000447F6"/>
    <w:rsid w:val="00045923"/>
    <w:rsid w:val="00045EB5"/>
    <w:rsid w:val="00046595"/>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A35"/>
    <w:rsid w:val="00073B23"/>
    <w:rsid w:val="00073DB3"/>
    <w:rsid w:val="00073EE2"/>
    <w:rsid w:val="00074554"/>
    <w:rsid w:val="00074BEF"/>
    <w:rsid w:val="00075AD5"/>
    <w:rsid w:val="00080168"/>
    <w:rsid w:val="00080188"/>
    <w:rsid w:val="00080A90"/>
    <w:rsid w:val="00080C2D"/>
    <w:rsid w:val="00081B06"/>
    <w:rsid w:val="000820E6"/>
    <w:rsid w:val="000825F6"/>
    <w:rsid w:val="00082956"/>
    <w:rsid w:val="00082ABE"/>
    <w:rsid w:val="000839DA"/>
    <w:rsid w:val="00083D3F"/>
    <w:rsid w:val="00083E84"/>
    <w:rsid w:val="0008402F"/>
    <w:rsid w:val="00085134"/>
    <w:rsid w:val="000851F8"/>
    <w:rsid w:val="00085317"/>
    <w:rsid w:val="00085419"/>
    <w:rsid w:val="000855C1"/>
    <w:rsid w:val="00085908"/>
    <w:rsid w:val="0008596C"/>
    <w:rsid w:val="00085DE9"/>
    <w:rsid w:val="00085FFE"/>
    <w:rsid w:val="000866A3"/>
    <w:rsid w:val="000867FB"/>
    <w:rsid w:val="00086F62"/>
    <w:rsid w:val="000870F2"/>
    <w:rsid w:val="000878FF"/>
    <w:rsid w:val="00087F07"/>
    <w:rsid w:val="0009127F"/>
    <w:rsid w:val="0009133A"/>
    <w:rsid w:val="0009145A"/>
    <w:rsid w:val="00091526"/>
    <w:rsid w:val="00091CAC"/>
    <w:rsid w:val="00092BD5"/>
    <w:rsid w:val="00093007"/>
    <w:rsid w:val="00094366"/>
    <w:rsid w:val="00095198"/>
    <w:rsid w:val="00095806"/>
    <w:rsid w:val="00095F61"/>
    <w:rsid w:val="00096CE6"/>
    <w:rsid w:val="00097B04"/>
    <w:rsid w:val="000A0947"/>
    <w:rsid w:val="000A0ABE"/>
    <w:rsid w:val="000A0DC0"/>
    <w:rsid w:val="000A24AF"/>
    <w:rsid w:val="000A274D"/>
    <w:rsid w:val="000A2C52"/>
    <w:rsid w:val="000A2D79"/>
    <w:rsid w:val="000A3358"/>
    <w:rsid w:val="000A43D6"/>
    <w:rsid w:val="000A530C"/>
    <w:rsid w:val="000A54E6"/>
    <w:rsid w:val="000A584E"/>
    <w:rsid w:val="000A58B9"/>
    <w:rsid w:val="000A5A8E"/>
    <w:rsid w:val="000A5CD4"/>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080D"/>
    <w:rsid w:val="000C1B95"/>
    <w:rsid w:val="000C299D"/>
    <w:rsid w:val="000C2A5E"/>
    <w:rsid w:val="000C3B21"/>
    <w:rsid w:val="000C428C"/>
    <w:rsid w:val="000C4328"/>
    <w:rsid w:val="000C48DA"/>
    <w:rsid w:val="000C605A"/>
    <w:rsid w:val="000C63AE"/>
    <w:rsid w:val="000C6BB0"/>
    <w:rsid w:val="000C7685"/>
    <w:rsid w:val="000D0C86"/>
    <w:rsid w:val="000D0C91"/>
    <w:rsid w:val="000D11F6"/>
    <w:rsid w:val="000D1EAF"/>
    <w:rsid w:val="000D2056"/>
    <w:rsid w:val="000D2C8E"/>
    <w:rsid w:val="000D2CA8"/>
    <w:rsid w:val="000D3909"/>
    <w:rsid w:val="000D39D7"/>
    <w:rsid w:val="000D3DAF"/>
    <w:rsid w:val="000D4816"/>
    <w:rsid w:val="000D48D5"/>
    <w:rsid w:val="000D5E0E"/>
    <w:rsid w:val="000D5E7D"/>
    <w:rsid w:val="000D6088"/>
    <w:rsid w:val="000D6CFF"/>
    <w:rsid w:val="000D6D74"/>
    <w:rsid w:val="000D6F21"/>
    <w:rsid w:val="000D7803"/>
    <w:rsid w:val="000D7D8E"/>
    <w:rsid w:val="000D7DC6"/>
    <w:rsid w:val="000E18B0"/>
    <w:rsid w:val="000E1BD5"/>
    <w:rsid w:val="000E1C6E"/>
    <w:rsid w:val="000E214A"/>
    <w:rsid w:val="000E21D9"/>
    <w:rsid w:val="000E2823"/>
    <w:rsid w:val="000E3219"/>
    <w:rsid w:val="000E321B"/>
    <w:rsid w:val="000E3D76"/>
    <w:rsid w:val="000E52FA"/>
    <w:rsid w:val="000E6437"/>
    <w:rsid w:val="000E671E"/>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0694"/>
    <w:rsid w:val="001018E6"/>
    <w:rsid w:val="00101DFC"/>
    <w:rsid w:val="00102684"/>
    <w:rsid w:val="00102A12"/>
    <w:rsid w:val="00102CC6"/>
    <w:rsid w:val="00102F0D"/>
    <w:rsid w:val="00102F55"/>
    <w:rsid w:val="001048BE"/>
    <w:rsid w:val="0010529C"/>
    <w:rsid w:val="001072EB"/>
    <w:rsid w:val="001075C1"/>
    <w:rsid w:val="00107924"/>
    <w:rsid w:val="001079CD"/>
    <w:rsid w:val="0011014B"/>
    <w:rsid w:val="00111274"/>
    <w:rsid w:val="001117B9"/>
    <w:rsid w:val="0011317D"/>
    <w:rsid w:val="001134EF"/>
    <w:rsid w:val="00114386"/>
    <w:rsid w:val="00114496"/>
    <w:rsid w:val="001148BD"/>
    <w:rsid w:val="001151A9"/>
    <w:rsid w:val="00115CCC"/>
    <w:rsid w:val="00116BDF"/>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31C"/>
    <w:rsid w:val="00130801"/>
    <w:rsid w:val="00130A8C"/>
    <w:rsid w:val="001310AA"/>
    <w:rsid w:val="001312DF"/>
    <w:rsid w:val="00132670"/>
    <w:rsid w:val="001328E9"/>
    <w:rsid w:val="00133AF2"/>
    <w:rsid w:val="00133E88"/>
    <w:rsid w:val="0013411A"/>
    <w:rsid w:val="001349F3"/>
    <w:rsid w:val="001356AB"/>
    <w:rsid w:val="0013581C"/>
    <w:rsid w:val="00136615"/>
    <w:rsid w:val="00136BA5"/>
    <w:rsid w:val="00137077"/>
    <w:rsid w:val="00137241"/>
    <w:rsid w:val="00137B1E"/>
    <w:rsid w:val="00140047"/>
    <w:rsid w:val="001403D0"/>
    <w:rsid w:val="00141229"/>
    <w:rsid w:val="00141E96"/>
    <w:rsid w:val="00142681"/>
    <w:rsid w:val="00142BD9"/>
    <w:rsid w:val="00143392"/>
    <w:rsid w:val="001438E5"/>
    <w:rsid w:val="00143AB1"/>
    <w:rsid w:val="00143D73"/>
    <w:rsid w:val="001448C4"/>
    <w:rsid w:val="0014619B"/>
    <w:rsid w:val="001467AB"/>
    <w:rsid w:val="001468DA"/>
    <w:rsid w:val="00146E88"/>
    <w:rsid w:val="00147B19"/>
    <w:rsid w:val="00150618"/>
    <w:rsid w:val="00150E64"/>
    <w:rsid w:val="00151766"/>
    <w:rsid w:val="00152417"/>
    <w:rsid w:val="0015247A"/>
    <w:rsid w:val="00152F39"/>
    <w:rsid w:val="00153226"/>
    <w:rsid w:val="00153918"/>
    <w:rsid w:val="0015395B"/>
    <w:rsid w:val="001547E1"/>
    <w:rsid w:val="00154F74"/>
    <w:rsid w:val="00156320"/>
    <w:rsid w:val="00156E27"/>
    <w:rsid w:val="001570A5"/>
    <w:rsid w:val="001571E8"/>
    <w:rsid w:val="0015749F"/>
    <w:rsid w:val="00157606"/>
    <w:rsid w:val="00160375"/>
    <w:rsid w:val="00160D4E"/>
    <w:rsid w:val="00160F50"/>
    <w:rsid w:val="00161522"/>
    <w:rsid w:val="001617AE"/>
    <w:rsid w:val="00161E4F"/>
    <w:rsid w:val="0016263C"/>
    <w:rsid w:val="001628C8"/>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CA3"/>
    <w:rsid w:val="001722D8"/>
    <w:rsid w:val="00172715"/>
    <w:rsid w:val="00172A27"/>
    <w:rsid w:val="00172AE3"/>
    <w:rsid w:val="00172C34"/>
    <w:rsid w:val="00173149"/>
    <w:rsid w:val="00173759"/>
    <w:rsid w:val="001739A3"/>
    <w:rsid w:val="00173A21"/>
    <w:rsid w:val="00173D26"/>
    <w:rsid w:val="001742DD"/>
    <w:rsid w:val="00174312"/>
    <w:rsid w:val="00175A5E"/>
    <w:rsid w:val="00175B46"/>
    <w:rsid w:val="00177212"/>
    <w:rsid w:val="001774D4"/>
    <w:rsid w:val="00177549"/>
    <w:rsid w:val="00177744"/>
    <w:rsid w:val="001778BE"/>
    <w:rsid w:val="00177F89"/>
    <w:rsid w:val="00180B0D"/>
    <w:rsid w:val="00181389"/>
    <w:rsid w:val="00181FEA"/>
    <w:rsid w:val="00182706"/>
    <w:rsid w:val="0018284B"/>
    <w:rsid w:val="00183600"/>
    <w:rsid w:val="00183836"/>
    <w:rsid w:val="00183DB4"/>
    <w:rsid w:val="001845E9"/>
    <w:rsid w:val="00184630"/>
    <w:rsid w:val="001846D7"/>
    <w:rsid w:val="00184815"/>
    <w:rsid w:val="001856C0"/>
    <w:rsid w:val="00185CB5"/>
    <w:rsid w:val="001864FF"/>
    <w:rsid w:val="00186D2F"/>
    <w:rsid w:val="00187B3E"/>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10F7"/>
    <w:rsid w:val="001A173C"/>
    <w:rsid w:val="001A1844"/>
    <w:rsid w:val="001A1998"/>
    <w:rsid w:val="001A1BE9"/>
    <w:rsid w:val="001A20CA"/>
    <w:rsid w:val="001A29AF"/>
    <w:rsid w:val="001A2B9F"/>
    <w:rsid w:val="001A2DA7"/>
    <w:rsid w:val="001A2E47"/>
    <w:rsid w:val="001A3B13"/>
    <w:rsid w:val="001A3CF6"/>
    <w:rsid w:val="001A3EE7"/>
    <w:rsid w:val="001A4420"/>
    <w:rsid w:val="001A68EC"/>
    <w:rsid w:val="001A6C49"/>
    <w:rsid w:val="001A7C91"/>
    <w:rsid w:val="001B0220"/>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491"/>
    <w:rsid w:val="001B75CF"/>
    <w:rsid w:val="001B7A8D"/>
    <w:rsid w:val="001B7EBE"/>
    <w:rsid w:val="001C06C0"/>
    <w:rsid w:val="001C0924"/>
    <w:rsid w:val="001C10E5"/>
    <w:rsid w:val="001C1A12"/>
    <w:rsid w:val="001C1D46"/>
    <w:rsid w:val="001C1F6C"/>
    <w:rsid w:val="001C21BB"/>
    <w:rsid w:val="001C3041"/>
    <w:rsid w:val="001C30D1"/>
    <w:rsid w:val="001C33D6"/>
    <w:rsid w:val="001C35B7"/>
    <w:rsid w:val="001C36F7"/>
    <w:rsid w:val="001C3AE0"/>
    <w:rsid w:val="001C3BAD"/>
    <w:rsid w:val="001C5F9A"/>
    <w:rsid w:val="001C7E49"/>
    <w:rsid w:val="001D012D"/>
    <w:rsid w:val="001D0702"/>
    <w:rsid w:val="001D0A25"/>
    <w:rsid w:val="001D1659"/>
    <w:rsid w:val="001D296C"/>
    <w:rsid w:val="001D2F3D"/>
    <w:rsid w:val="001D33C3"/>
    <w:rsid w:val="001D3C8D"/>
    <w:rsid w:val="001D3DED"/>
    <w:rsid w:val="001D3DF8"/>
    <w:rsid w:val="001D4078"/>
    <w:rsid w:val="001D4E6F"/>
    <w:rsid w:val="001D5573"/>
    <w:rsid w:val="001D5E80"/>
    <w:rsid w:val="001D6157"/>
    <w:rsid w:val="001D6356"/>
    <w:rsid w:val="001D64D4"/>
    <w:rsid w:val="001D6A56"/>
    <w:rsid w:val="001D6EC3"/>
    <w:rsid w:val="001D710C"/>
    <w:rsid w:val="001E11B1"/>
    <w:rsid w:val="001E208F"/>
    <w:rsid w:val="001E233C"/>
    <w:rsid w:val="001E4950"/>
    <w:rsid w:val="001E5014"/>
    <w:rsid w:val="001E630A"/>
    <w:rsid w:val="001E67F4"/>
    <w:rsid w:val="001E7838"/>
    <w:rsid w:val="001E7A22"/>
    <w:rsid w:val="001E7D19"/>
    <w:rsid w:val="001F015A"/>
    <w:rsid w:val="001F03A2"/>
    <w:rsid w:val="001F0CFA"/>
    <w:rsid w:val="001F1464"/>
    <w:rsid w:val="001F1905"/>
    <w:rsid w:val="001F1EAE"/>
    <w:rsid w:val="001F1F7F"/>
    <w:rsid w:val="001F2E14"/>
    <w:rsid w:val="001F37E0"/>
    <w:rsid w:val="001F401A"/>
    <w:rsid w:val="001F4A76"/>
    <w:rsid w:val="001F4D92"/>
    <w:rsid w:val="001F4F4A"/>
    <w:rsid w:val="001F534F"/>
    <w:rsid w:val="001F543D"/>
    <w:rsid w:val="001F56BD"/>
    <w:rsid w:val="001F5989"/>
    <w:rsid w:val="001F5F83"/>
    <w:rsid w:val="001F64C1"/>
    <w:rsid w:val="001F7746"/>
    <w:rsid w:val="002001F1"/>
    <w:rsid w:val="00201348"/>
    <w:rsid w:val="002014D7"/>
    <w:rsid w:val="00201A4E"/>
    <w:rsid w:val="00201B09"/>
    <w:rsid w:val="00201C8A"/>
    <w:rsid w:val="00202525"/>
    <w:rsid w:val="002035A2"/>
    <w:rsid w:val="00203887"/>
    <w:rsid w:val="002046D6"/>
    <w:rsid w:val="00204D09"/>
    <w:rsid w:val="00205C71"/>
    <w:rsid w:val="00205E32"/>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9CD"/>
    <w:rsid w:val="00213E88"/>
    <w:rsid w:val="00214C22"/>
    <w:rsid w:val="00214C4A"/>
    <w:rsid w:val="00214FDD"/>
    <w:rsid w:val="0021647A"/>
    <w:rsid w:val="002170FD"/>
    <w:rsid w:val="002175FD"/>
    <w:rsid w:val="0021781A"/>
    <w:rsid w:val="00217A9E"/>
    <w:rsid w:val="002201AC"/>
    <w:rsid w:val="0022067E"/>
    <w:rsid w:val="00221029"/>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A4"/>
    <w:rsid w:val="002326BE"/>
    <w:rsid w:val="0023316C"/>
    <w:rsid w:val="002333EF"/>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B92"/>
    <w:rsid w:val="00241BD9"/>
    <w:rsid w:val="00242B67"/>
    <w:rsid w:val="00243381"/>
    <w:rsid w:val="00243EFD"/>
    <w:rsid w:val="002442A5"/>
    <w:rsid w:val="00244AF3"/>
    <w:rsid w:val="00244CB3"/>
    <w:rsid w:val="00244EFB"/>
    <w:rsid w:val="00245008"/>
    <w:rsid w:val="002451ED"/>
    <w:rsid w:val="0024561B"/>
    <w:rsid w:val="002458E4"/>
    <w:rsid w:val="00245DD8"/>
    <w:rsid w:val="002477EA"/>
    <w:rsid w:val="002506EE"/>
    <w:rsid w:val="00250E89"/>
    <w:rsid w:val="00252912"/>
    <w:rsid w:val="00252D49"/>
    <w:rsid w:val="00253C51"/>
    <w:rsid w:val="002548D3"/>
    <w:rsid w:val="0025568B"/>
    <w:rsid w:val="002561B7"/>
    <w:rsid w:val="00257054"/>
    <w:rsid w:val="00257131"/>
    <w:rsid w:val="002572D1"/>
    <w:rsid w:val="0025733E"/>
    <w:rsid w:val="00257F6B"/>
    <w:rsid w:val="002600E9"/>
    <w:rsid w:val="00260DC9"/>
    <w:rsid w:val="00261B4C"/>
    <w:rsid w:val="00261C50"/>
    <w:rsid w:val="00261DE4"/>
    <w:rsid w:val="00261E06"/>
    <w:rsid w:val="0026249A"/>
    <w:rsid w:val="002625B4"/>
    <w:rsid w:val="00263090"/>
    <w:rsid w:val="002640AD"/>
    <w:rsid w:val="0026452A"/>
    <w:rsid w:val="00264570"/>
    <w:rsid w:val="00264D98"/>
    <w:rsid w:val="00265054"/>
    <w:rsid w:val="0026523F"/>
    <w:rsid w:val="002659F4"/>
    <w:rsid w:val="0026696D"/>
    <w:rsid w:val="00266A00"/>
    <w:rsid w:val="00266BE6"/>
    <w:rsid w:val="00267127"/>
    <w:rsid w:val="00267325"/>
    <w:rsid w:val="00267935"/>
    <w:rsid w:val="002703AB"/>
    <w:rsid w:val="00270B8F"/>
    <w:rsid w:val="00271B39"/>
    <w:rsid w:val="00271CD9"/>
    <w:rsid w:val="0027313B"/>
    <w:rsid w:val="002731CD"/>
    <w:rsid w:val="00273CF6"/>
    <w:rsid w:val="00273F3E"/>
    <w:rsid w:val="00274F13"/>
    <w:rsid w:val="002752E7"/>
    <w:rsid w:val="00275388"/>
    <w:rsid w:val="00275567"/>
    <w:rsid w:val="00275D52"/>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DFC"/>
    <w:rsid w:val="00287102"/>
    <w:rsid w:val="00290002"/>
    <w:rsid w:val="0029069C"/>
    <w:rsid w:val="002913B8"/>
    <w:rsid w:val="0029244F"/>
    <w:rsid w:val="00293B82"/>
    <w:rsid w:val="00293DA4"/>
    <w:rsid w:val="002965D8"/>
    <w:rsid w:val="002A0381"/>
    <w:rsid w:val="002A0425"/>
    <w:rsid w:val="002A0651"/>
    <w:rsid w:val="002A06BD"/>
    <w:rsid w:val="002A11FB"/>
    <w:rsid w:val="002A120C"/>
    <w:rsid w:val="002A1996"/>
    <w:rsid w:val="002A1F00"/>
    <w:rsid w:val="002A1F34"/>
    <w:rsid w:val="002A2185"/>
    <w:rsid w:val="002A21D9"/>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E4D"/>
    <w:rsid w:val="002A7153"/>
    <w:rsid w:val="002A728A"/>
    <w:rsid w:val="002A7310"/>
    <w:rsid w:val="002A73C5"/>
    <w:rsid w:val="002A7D4F"/>
    <w:rsid w:val="002B011D"/>
    <w:rsid w:val="002B021E"/>
    <w:rsid w:val="002B0899"/>
    <w:rsid w:val="002B08F6"/>
    <w:rsid w:val="002B2CF6"/>
    <w:rsid w:val="002B2E09"/>
    <w:rsid w:val="002B366D"/>
    <w:rsid w:val="002B3C7C"/>
    <w:rsid w:val="002B4B5E"/>
    <w:rsid w:val="002B4F70"/>
    <w:rsid w:val="002B6528"/>
    <w:rsid w:val="002B6DB3"/>
    <w:rsid w:val="002C065B"/>
    <w:rsid w:val="002C08AB"/>
    <w:rsid w:val="002C183E"/>
    <w:rsid w:val="002C1AA0"/>
    <w:rsid w:val="002C1D83"/>
    <w:rsid w:val="002C237E"/>
    <w:rsid w:val="002C24DC"/>
    <w:rsid w:val="002C3057"/>
    <w:rsid w:val="002C365A"/>
    <w:rsid w:val="002C3EA7"/>
    <w:rsid w:val="002C44A2"/>
    <w:rsid w:val="002C467A"/>
    <w:rsid w:val="002C4AC6"/>
    <w:rsid w:val="002C526F"/>
    <w:rsid w:val="002C55AB"/>
    <w:rsid w:val="002C588A"/>
    <w:rsid w:val="002C5B4B"/>
    <w:rsid w:val="002C5EEF"/>
    <w:rsid w:val="002C6527"/>
    <w:rsid w:val="002D13DF"/>
    <w:rsid w:val="002D3B6B"/>
    <w:rsid w:val="002D41A4"/>
    <w:rsid w:val="002D603D"/>
    <w:rsid w:val="002D6332"/>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A58"/>
    <w:rsid w:val="002E6D98"/>
    <w:rsid w:val="002E7881"/>
    <w:rsid w:val="002E7975"/>
    <w:rsid w:val="002E7A31"/>
    <w:rsid w:val="002F01F2"/>
    <w:rsid w:val="002F0F57"/>
    <w:rsid w:val="002F11D5"/>
    <w:rsid w:val="002F2B63"/>
    <w:rsid w:val="002F3765"/>
    <w:rsid w:val="002F44A0"/>
    <w:rsid w:val="002F4F44"/>
    <w:rsid w:val="002F50DA"/>
    <w:rsid w:val="002F56B1"/>
    <w:rsid w:val="002F584B"/>
    <w:rsid w:val="002F5EEE"/>
    <w:rsid w:val="002F5FC3"/>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C1F"/>
    <w:rsid w:val="00305D1D"/>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4F38"/>
    <w:rsid w:val="003256E0"/>
    <w:rsid w:val="00325E6C"/>
    <w:rsid w:val="00327114"/>
    <w:rsid w:val="003278F8"/>
    <w:rsid w:val="00327B3E"/>
    <w:rsid w:val="00327D2C"/>
    <w:rsid w:val="00327EA3"/>
    <w:rsid w:val="00330181"/>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EFB"/>
    <w:rsid w:val="003364EB"/>
    <w:rsid w:val="003374CB"/>
    <w:rsid w:val="00337D7C"/>
    <w:rsid w:val="00340405"/>
    <w:rsid w:val="00340445"/>
    <w:rsid w:val="00342098"/>
    <w:rsid w:val="00342BAE"/>
    <w:rsid w:val="003431F0"/>
    <w:rsid w:val="00344388"/>
    <w:rsid w:val="00345387"/>
    <w:rsid w:val="00345AD6"/>
    <w:rsid w:val="00345E2A"/>
    <w:rsid w:val="00345F25"/>
    <w:rsid w:val="00346772"/>
    <w:rsid w:val="00346E05"/>
    <w:rsid w:val="00350C97"/>
    <w:rsid w:val="00351F42"/>
    <w:rsid w:val="00352BC1"/>
    <w:rsid w:val="003536EE"/>
    <w:rsid w:val="00353939"/>
    <w:rsid w:val="00354E1D"/>
    <w:rsid w:val="00354FA4"/>
    <w:rsid w:val="00355855"/>
    <w:rsid w:val="003571E8"/>
    <w:rsid w:val="0035749F"/>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0DD"/>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1591"/>
    <w:rsid w:val="00392CF1"/>
    <w:rsid w:val="00393028"/>
    <w:rsid w:val="0039313E"/>
    <w:rsid w:val="003934F9"/>
    <w:rsid w:val="00393CB5"/>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94A"/>
    <w:rsid w:val="003A3C39"/>
    <w:rsid w:val="003A3CAC"/>
    <w:rsid w:val="003A3EFB"/>
    <w:rsid w:val="003A407A"/>
    <w:rsid w:val="003A44F3"/>
    <w:rsid w:val="003A574F"/>
    <w:rsid w:val="003A58D0"/>
    <w:rsid w:val="003A6FDB"/>
    <w:rsid w:val="003B01FA"/>
    <w:rsid w:val="003B0A1B"/>
    <w:rsid w:val="003B1B85"/>
    <w:rsid w:val="003B23AD"/>
    <w:rsid w:val="003B246D"/>
    <w:rsid w:val="003B2926"/>
    <w:rsid w:val="003B3713"/>
    <w:rsid w:val="003B3AA5"/>
    <w:rsid w:val="003B445F"/>
    <w:rsid w:val="003B495A"/>
    <w:rsid w:val="003B4982"/>
    <w:rsid w:val="003B4B46"/>
    <w:rsid w:val="003B5C4E"/>
    <w:rsid w:val="003B65AB"/>
    <w:rsid w:val="003B6CFD"/>
    <w:rsid w:val="003B7115"/>
    <w:rsid w:val="003B77CE"/>
    <w:rsid w:val="003B7B4E"/>
    <w:rsid w:val="003C053A"/>
    <w:rsid w:val="003C0812"/>
    <w:rsid w:val="003C0BD9"/>
    <w:rsid w:val="003C0DD9"/>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D06D4"/>
    <w:rsid w:val="003D08DD"/>
    <w:rsid w:val="003D16D0"/>
    <w:rsid w:val="003D27FB"/>
    <w:rsid w:val="003D35B0"/>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CC4"/>
    <w:rsid w:val="003F179E"/>
    <w:rsid w:val="003F1823"/>
    <w:rsid w:val="003F1DDF"/>
    <w:rsid w:val="003F1F28"/>
    <w:rsid w:val="003F253B"/>
    <w:rsid w:val="003F3ED0"/>
    <w:rsid w:val="003F447B"/>
    <w:rsid w:val="003F4F4B"/>
    <w:rsid w:val="003F50A1"/>
    <w:rsid w:val="003F5132"/>
    <w:rsid w:val="003F65B3"/>
    <w:rsid w:val="003F6B1B"/>
    <w:rsid w:val="003F6BA8"/>
    <w:rsid w:val="003F7D12"/>
    <w:rsid w:val="003F7F24"/>
    <w:rsid w:val="00400133"/>
    <w:rsid w:val="004004F2"/>
    <w:rsid w:val="0040061D"/>
    <w:rsid w:val="004009A7"/>
    <w:rsid w:val="00400A0B"/>
    <w:rsid w:val="00400A9F"/>
    <w:rsid w:val="00400D1B"/>
    <w:rsid w:val="004015AD"/>
    <w:rsid w:val="00401E65"/>
    <w:rsid w:val="00402593"/>
    <w:rsid w:val="004025F3"/>
    <w:rsid w:val="00402776"/>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77BD"/>
    <w:rsid w:val="00407B04"/>
    <w:rsid w:val="00407BC7"/>
    <w:rsid w:val="00407C5E"/>
    <w:rsid w:val="00410BE7"/>
    <w:rsid w:val="00410D26"/>
    <w:rsid w:val="0041105B"/>
    <w:rsid w:val="004124E8"/>
    <w:rsid w:val="00413625"/>
    <w:rsid w:val="00413661"/>
    <w:rsid w:val="00413BFD"/>
    <w:rsid w:val="004146C1"/>
    <w:rsid w:val="00414A4F"/>
    <w:rsid w:val="00415756"/>
    <w:rsid w:val="00415B9C"/>
    <w:rsid w:val="00415FC6"/>
    <w:rsid w:val="0041688D"/>
    <w:rsid w:val="004168DB"/>
    <w:rsid w:val="00416907"/>
    <w:rsid w:val="00416A9F"/>
    <w:rsid w:val="004170BB"/>
    <w:rsid w:val="00417D63"/>
    <w:rsid w:val="004201B7"/>
    <w:rsid w:val="00421FC0"/>
    <w:rsid w:val="00422A18"/>
    <w:rsid w:val="00422B01"/>
    <w:rsid w:val="00423668"/>
    <w:rsid w:val="00423C36"/>
    <w:rsid w:val="004242E7"/>
    <w:rsid w:val="00424697"/>
    <w:rsid w:val="00424B8A"/>
    <w:rsid w:val="00424DD1"/>
    <w:rsid w:val="00425A62"/>
    <w:rsid w:val="00426433"/>
    <w:rsid w:val="00426B44"/>
    <w:rsid w:val="004274CF"/>
    <w:rsid w:val="00427BF1"/>
    <w:rsid w:val="00430051"/>
    <w:rsid w:val="004304D3"/>
    <w:rsid w:val="00430640"/>
    <w:rsid w:val="00430E30"/>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27D"/>
    <w:rsid w:val="0044493B"/>
    <w:rsid w:val="00444C0A"/>
    <w:rsid w:val="00444CD2"/>
    <w:rsid w:val="0044510F"/>
    <w:rsid w:val="00445E9A"/>
    <w:rsid w:val="00446573"/>
    <w:rsid w:val="0044696A"/>
    <w:rsid w:val="004469FF"/>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6C3"/>
    <w:rsid w:val="00466945"/>
    <w:rsid w:val="00466ED5"/>
    <w:rsid w:val="00467388"/>
    <w:rsid w:val="00470261"/>
    <w:rsid w:val="00470367"/>
    <w:rsid w:val="004705C5"/>
    <w:rsid w:val="00470934"/>
    <w:rsid w:val="00470AE5"/>
    <w:rsid w:val="0047124D"/>
    <w:rsid w:val="004717B7"/>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C54"/>
    <w:rsid w:val="00487F2E"/>
    <w:rsid w:val="00490561"/>
    <w:rsid w:val="0049059F"/>
    <w:rsid w:val="00492CA8"/>
    <w:rsid w:val="00493018"/>
    <w:rsid w:val="004932D3"/>
    <w:rsid w:val="00493783"/>
    <w:rsid w:val="00493EFE"/>
    <w:rsid w:val="004940C3"/>
    <w:rsid w:val="004945B1"/>
    <w:rsid w:val="00494C12"/>
    <w:rsid w:val="0049511F"/>
    <w:rsid w:val="0049523D"/>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D79"/>
    <w:rsid w:val="004A4862"/>
    <w:rsid w:val="004A4E10"/>
    <w:rsid w:val="004A565E"/>
    <w:rsid w:val="004A59A4"/>
    <w:rsid w:val="004A6E06"/>
    <w:rsid w:val="004A73C9"/>
    <w:rsid w:val="004A7475"/>
    <w:rsid w:val="004A7F95"/>
    <w:rsid w:val="004B261D"/>
    <w:rsid w:val="004B35DD"/>
    <w:rsid w:val="004B6062"/>
    <w:rsid w:val="004B7F2B"/>
    <w:rsid w:val="004C067A"/>
    <w:rsid w:val="004C1447"/>
    <w:rsid w:val="004C262D"/>
    <w:rsid w:val="004C2758"/>
    <w:rsid w:val="004C3CB6"/>
    <w:rsid w:val="004C54EE"/>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3409"/>
    <w:rsid w:val="004D36B7"/>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345A"/>
    <w:rsid w:val="004E3BF3"/>
    <w:rsid w:val="004E3F06"/>
    <w:rsid w:val="004E4394"/>
    <w:rsid w:val="004E52D5"/>
    <w:rsid w:val="004E59C7"/>
    <w:rsid w:val="004E5C61"/>
    <w:rsid w:val="004E67CC"/>
    <w:rsid w:val="004E6BED"/>
    <w:rsid w:val="004F0090"/>
    <w:rsid w:val="004F0094"/>
    <w:rsid w:val="004F091C"/>
    <w:rsid w:val="004F10DF"/>
    <w:rsid w:val="004F1279"/>
    <w:rsid w:val="004F1DD7"/>
    <w:rsid w:val="004F266B"/>
    <w:rsid w:val="004F2CF9"/>
    <w:rsid w:val="004F3163"/>
    <w:rsid w:val="004F3E76"/>
    <w:rsid w:val="004F4097"/>
    <w:rsid w:val="004F4B8F"/>
    <w:rsid w:val="004F542A"/>
    <w:rsid w:val="004F5901"/>
    <w:rsid w:val="004F59D0"/>
    <w:rsid w:val="004F5B1F"/>
    <w:rsid w:val="004F644E"/>
    <w:rsid w:val="004F76DE"/>
    <w:rsid w:val="004F797F"/>
    <w:rsid w:val="004F7E38"/>
    <w:rsid w:val="0050043A"/>
    <w:rsid w:val="00500875"/>
    <w:rsid w:val="00500F74"/>
    <w:rsid w:val="005011A8"/>
    <w:rsid w:val="0050193A"/>
    <w:rsid w:val="00501956"/>
    <w:rsid w:val="00501E03"/>
    <w:rsid w:val="00501E5A"/>
    <w:rsid w:val="00501EB7"/>
    <w:rsid w:val="00502668"/>
    <w:rsid w:val="0050276C"/>
    <w:rsid w:val="005027F7"/>
    <w:rsid w:val="0050367F"/>
    <w:rsid w:val="00503E1C"/>
    <w:rsid w:val="00503FE5"/>
    <w:rsid w:val="00504068"/>
    <w:rsid w:val="00504889"/>
    <w:rsid w:val="005049EE"/>
    <w:rsid w:val="00504F17"/>
    <w:rsid w:val="00505297"/>
    <w:rsid w:val="0050563F"/>
    <w:rsid w:val="0050650A"/>
    <w:rsid w:val="00507045"/>
    <w:rsid w:val="00507643"/>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995"/>
    <w:rsid w:val="00523B53"/>
    <w:rsid w:val="00523BBD"/>
    <w:rsid w:val="0052405C"/>
    <w:rsid w:val="005241B2"/>
    <w:rsid w:val="00524351"/>
    <w:rsid w:val="00524414"/>
    <w:rsid w:val="005244D3"/>
    <w:rsid w:val="00524818"/>
    <w:rsid w:val="00524D1C"/>
    <w:rsid w:val="00524D26"/>
    <w:rsid w:val="00525027"/>
    <w:rsid w:val="005265E5"/>
    <w:rsid w:val="005266E1"/>
    <w:rsid w:val="00527307"/>
    <w:rsid w:val="00527637"/>
    <w:rsid w:val="00527E4A"/>
    <w:rsid w:val="00530122"/>
    <w:rsid w:val="00530202"/>
    <w:rsid w:val="00530617"/>
    <w:rsid w:val="00530B1B"/>
    <w:rsid w:val="00530D4C"/>
    <w:rsid w:val="005313D4"/>
    <w:rsid w:val="005316D5"/>
    <w:rsid w:val="00531C5E"/>
    <w:rsid w:val="00532A52"/>
    <w:rsid w:val="00532FBE"/>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47D3F"/>
    <w:rsid w:val="00550163"/>
    <w:rsid w:val="00550FF4"/>
    <w:rsid w:val="00551A35"/>
    <w:rsid w:val="00552287"/>
    <w:rsid w:val="005531EF"/>
    <w:rsid w:val="0055408C"/>
    <w:rsid w:val="00555289"/>
    <w:rsid w:val="00555AEF"/>
    <w:rsid w:val="00556179"/>
    <w:rsid w:val="00556DFE"/>
    <w:rsid w:val="00557BE8"/>
    <w:rsid w:val="00560452"/>
    <w:rsid w:val="0056097F"/>
    <w:rsid w:val="00560E39"/>
    <w:rsid w:val="005622D6"/>
    <w:rsid w:val="00562AD4"/>
    <w:rsid w:val="00563583"/>
    <w:rsid w:val="005635DB"/>
    <w:rsid w:val="00563722"/>
    <w:rsid w:val="00563E78"/>
    <w:rsid w:val="00564CC4"/>
    <w:rsid w:val="00565126"/>
    <w:rsid w:val="0056554D"/>
    <w:rsid w:val="0056605B"/>
    <w:rsid w:val="005660CD"/>
    <w:rsid w:val="00566509"/>
    <w:rsid w:val="00566BEE"/>
    <w:rsid w:val="005677FA"/>
    <w:rsid w:val="005705DB"/>
    <w:rsid w:val="005709EF"/>
    <w:rsid w:val="0057109F"/>
    <w:rsid w:val="00571971"/>
    <w:rsid w:val="005721D9"/>
    <w:rsid w:val="00572770"/>
    <w:rsid w:val="00572A16"/>
    <w:rsid w:val="00572D02"/>
    <w:rsid w:val="005731E7"/>
    <w:rsid w:val="00573353"/>
    <w:rsid w:val="00573836"/>
    <w:rsid w:val="00573C96"/>
    <w:rsid w:val="00574200"/>
    <w:rsid w:val="00574266"/>
    <w:rsid w:val="00574539"/>
    <w:rsid w:val="00574776"/>
    <w:rsid w:val="00574ADD"/>
    <w:rsid w:val="00574BF4"/>
    <w:rsid w:val="00575FD0"/>
    <w:rsid w:val="00576547"/>
    <w:rsid w:val="005766D7"/>
    <w:rsid w:val="00576ED0"/>
    <w:rsid w:val="00576F87"/>
    <w:rsid w:val="005800A3"/>
    <w:rsid w:val="00580E5C"/>
    <w:rsid w:val="00581587"/>
    <w:rsid w:val="00581F5A"/>
    <w:rsid w:val="00582B82"/>
    <w:rsid w:val="00582EF6"/>
    <w:rsid w:val="00583464"/>
    <w:rsid w:val="00583A9B"/>
    <w:rsid w:val="00585D80"/>
    <w:rsid w:val="00586A60"/>
    <w:rsid w:val="0058774E"/>
    <w:rsid w:val="00587847"/>
    <w:rsid w:val="00587868"/>
    <w:rsid w:val="00587E0C"/>
    <w:rsid w:val="00591025"/>
    <w:rsid w:val="00591555"/>
    <w:rsid w:val="00592E85"/>
    <w:rsid w:val="00592F69"/>
    <w:rsid w:val="00593557"/>
    <w:rsid w:val="005935DB"/>
    <w:rsid w:val="0059385F"/>
    <w:rsid w:val="005946F1"/>
    <w:rsid w:val="00595BF2"/>
    <w:rsid w:val="00597E2F"/>
    <w:rsid w:val="005A02B7"/>
    <w:rsid w:val="005A07C9"/>
    <w:rsid w:val="005A10EF"/>
    <w:rsid w:val="005A12C1"/>
    <w:rsid w:val="005A12E3"/>
    <w:rsid w:val="005A1307"/>
    <w:rsid w:val="005A1548"/>
    <w:rsid w:val="005A1D55"/>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ADB"/>
    <w:rsid w:val="005B1C58"/>
    <w:rsid w:val="005B2A88"/>
    <w:rsid w:val="005B342A"/>
    <w:rsid w:val="005B37AA"/>
    <w:rsid w:val="005B4418"/>
    <w:rsid w:val="005B4B65"/>
    <w:rsid w:val="005B5529"/>
    <w:rsid w:val="005B645D"/>
    <w:rsid w:val="005B663F"/>
    <w:rsid w:val="005B6B95"/>
    <w:rsid w:val="005B6F4F"/>
    <w:rsid w:val="005B707A"/>
    <w:rsid w:val="005B7160"/>
    <w:rsid w:val="005B73A6"/>
    <w:rsid w:val="005B768C"/>
    <w:rsid w:val="005B7C61"/>
    <w:rsid w:val="005C0EE2"/>
    <w:rsid w:val="005C160D"/>
    <w:rsid w:val="005C1691"/>
    <w:rsid w:val="005C283A"/>
    <w:rsid w:val="005C33DE"/>
    <w:rsid w:val="005C3571"/>
    <w:rsid w:val="005C3983"/>
    <w:rsid w:val="005C3DAD"/>
    <w:rsid w:val="005C403A"/>
    <w:rsid w:val="005C4C1F"/>
    <w:rsid w:val="005C5F97"/>
    <w:rsid w:val="005C6799"/>
    <w:rsid w:val="005C6AC7"/>
    <w:rsid w:val="005C7036"/>
    <w:rsid w:val="005C7053"/>
    <w:rsid w:val="005D0181"/>
    <w:rsid w:val="005D1B22"/>
    <w:rsid w:val="005D1F87"/>
    <w:rsid w:val="005D247E"/>
    <w:rsid w:val="005D2797"/>
    <w:rsid w:val="005D2821"/>
    <w:rsid w:val="005D29AB"/>
    <w:rsid w:val="005D2AD9"/>
    <w:rsid w:val="005D383B"/>
    <w:rsid w:val="005D487B"/>
    <w:rsid w:val="005D569E"/>
    <w:rsid w:val="005D6A20"/>
    <w:rsid w:val="005D75A8"/>
    <w:rsid w:val="005D7F63"/>
    <w:rsid w:val="005D7FD7"/>
    <w:rsid w:val="005E0134"/>
    <w:rsid w:val="005E01D6"/>
    <w:rsid w:val="005E0D2C"/>
    <w:rsid w:val="005E0FBF"/>
    <w:rsid w:val="005E10AA"/>
    <w:rsid w:val="005E1A94"/>
    <w:rsid w:val="005E1E5E"/>
    <w:rsid w:val="005E2578"/>
    <w:rsid w:val="005E320C"/>
    <w:rsid w:val="005E3644"/>
    <w:rsid w:val="005E43D7"/>
    <w:rsid w:val="005E43D9"/>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48E7"/>
    <w:rsid w:val="005F5C60"/>
    <w:rsid w:val="005F5D4D"/>
    <w:rsid w:val="005F65D7"/>
    <w:rsid w:val="005F7277"/>
    <w:rsid w:val="0060015E"/>
    <w:rsid w:val="00600FF2"/>
    <w:rsid w:val="0060107B"/>
    <w:rsid w:val="00601744"/>
    <w:rsid w:val="00601EEB"/>
    <w:rsid w:val="0060324A"/>
    <w:rsid w:val="00603B00"/>
    <w:rsid w:val="00604156"/>
    <w:rsid w:val="006041F6"/>
    <w:rsid w:val="00604586"/>
    <w:rsid w:val="00604591"/>
    <w:rsid w:val="00604A3E"/>
    <w:rsid w:val="00604E98"/>
    <w:rsid w:val="00605593"/>
    <w:rsid w:val="0060751C"/>
    <w:rsid w:val="00607D49"/>
    <w:rsid w:val="00607E9C"/>
    <w:rsid w:val="00610586"/>
    <w:rsid w:val="00610A0E"/>
    <w:rsid w:val="00611ED2"/>
    <w:rsid w:val="00611EE1"/>
    <w:rsid w:val="00613239"/>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7AAB"/>
    <w:rsid w:val="00627B99"/>
    <w:rsid w:val="00627E79"/>
    <w:rsid w:val="006300C1"/>
    <w:rsid w:val="006304B1"/>
    <w:rsid w:val="00631533"/>
    <w:rsid w:val="00631EC7"/>
    <w:rsid w:val="0063209E"/>
    <w:rsid w:val="006335B0"/>
    <w:rsid w:val="00633D19"/>
    <w:rsid w:val="00633D42"/>
    <w:rsid w:val="00634056"/>
    <w:rsid w:val="00634CAD"/>
    <w:rsid w:val="00634E82"/>
    <w:rsid w:val="006363FA"/>
    <w:rsid w:val="0063655E"/>
    <w:rsid w:val="00636979"/>
    <w:rsid w:val="00636B5D"/>
    <w:rsid w:val="006372D5"/>
    <w:rsid w:val="006379A7"/>
    <w:rsid w:val="00637EA1"/>
    <w:rsid w:val="00640237"/>
    <w:rsid w:val="0064124F"/>
    <w:rsid w:val="00641AB6"/>
    <w:rsid w:val="00642173"/>
    <w:rsid w:val="00642997"/>
    <w:rsid w:val="00642BFD"/>
    <w:rsid w:val="006436D0"/>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B2"/>
    <w:rsid w:val="00654F65"/>
    <w:rsid w:val="006556B0"/>
    <w:rsid w:val="0065588A"/>
    <w:rsid w:val="00655983"/>
    <w:rsid w:val="00656065"/>
    <w:rsid w:val="00656AE4"/>
    <w:rsid w:val="006571CF"/>
    <w:rsid w:val="0065748E"/>
    <w:rsid w:val="00657934"/>
    <w:rsid w:val="00657A63"/>
    <w:rsid w:val="006604AF"/>
    <w:rsid w:val="0066067A"/>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C82"/>
    <w:rsid w:val="00670D33"/>
    <w:rsid w:val="00671921"/>
    <w:rsid w:val="00671AFA"/>
    <w:rsid w:val="006722F6"/>
    <w:rsid w:val="006725F0"/>
    <w:rsid w:val="00672A00"/>
    <w:rsid w:val="0067332F"/>
    <w:rsid w:val="00674A25"/>
    <w:rsid w:val="00674DCE"/>
    <w:rsid w:val="00675104"/>
    <w:rsid w:val="006755EE"/>
    <w:rsid w:val="00675A8E"/>
    <w:rsid w:val="00675D1F"/>
    <w:rsid w:val="00676955"/>
    <w:rsid w:val="00676D3E"/>
    <w:rsid w:val="00677048"/>
    <w:rsid w:val="0068046C"/>
    <w:rsid w:val="006812C0"/>
    <w:rsid w:val="006817D3"/>
    <w:rsid w:val="00682313"/>
    <w:rsid w:val="006828B7"/>
    <w:rsid w:val="00683085"/>
    <w:rsid w:val="0068387C"/>
    <w:rsid w:val="00683942"/>
    <w:rsid w:val="00683ACE"/>
    <w:rsid w:val="00683E1A"/>
    <w:rsid w:val="0068574F"/>
    <w:rsid w:val="00686222"/>
    <w:rsid w:val="0068634C"/>
    <w:rsid w:val="00686C68"/>
    <w:rsid w:val="00686F04"/>
    <w:rsid w:val="00686F62"/>
    <w:rsid w:val="00687043"/>
    <w:rsid w:val="00690B64"/>
    <w:rsid w:val="00691F51"/>
    <w:rsid w:val="006922DF"/>
    <w:rsid w:val="00692328"/>
    <w:rsid w:val="0069241A"/>
    <w:rsid w:val="00693531"/>
    <w:rsid w:val="006935B9"/>
    <w:rsid w:val="00694848"/>
    <w:rsid w:val="00695224"/>
    <w:rsid w:val="006953B6"/>
    <w:rsid w:val="006959D4"/>
    <w:rsid w:val="00695AB8"/>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31F"/>
    <w:rsid w:val="006A256B"/>
    <w:rsid w:val="006A2F27"/>
    <w:rsid w:val="006A333F"/>
    <w:rsid w:val="006A33B2"/>
    <w:rsid w:val="006A38CC"/>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D4C"/>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E75"/>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33B"/>
    <w:rsid w:val="006D150F"/>
    <w:rsid w:val="006D2028"/>
    <w:rsid w:val="006D2762"/>
    <w:rsid w:val="006D2A1D"/>
    <w:rsid w:val="006D32D2"/>
    <w:rsid w:val="006D33A7"/>
    <w:rsid w:val="006D41C9"/>
    <w:rsid w:val="006D5920"/>
    <w:rsid w:val="006D59CA"/>
    <w:rsid w:val="006D6A01"/>
    <w:rsid w:val="006D776D"/>
    <w:rsid w:val="006D7DAF"/>
    <w:rsid w:val="006D7E04"/>
    <w:rsid w:val="006E0126"/>
    <w:rsid w:val="006E0848"/>
    <w:rsid w:val="006E11AC"/>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6278"/>
    <w:rsid w:val="006F6F4D"/>
    <w:rsid w:val="006F7BB8"/>
    <w:rsid w:val="0070066B"/>
    <w:rsid w:val="00701022"/>
    <w:rsid w:val="0070184D"/>
    <w:rsid w:val="00701DDF"/>
    <w:rsid w:val="00702247"/>
    <w:rsid w:val="007033F1"/>
    <w:rsid w:val="00704CBD"/>
    <w:rsid w:val="00705148"/>
    <w:rsid w:val="0070597A"/>
    <w:rsid w:val="007059E9"/>
    <w:rsid w:val="00705DC2"/>
    <w:rsid w:val="0070655B"/>
    <w:rsid w:val="00706FFC"/>
    <w:rsid w:val="00707536"/>
    <w:rsid w:val="00707A84"/>
    <w:rsid w:val="00707DE3"/>
    <w:rsid w:val="00710292"/>
    <w:rsid w:val="00714054"/>
    <w:rsid w:val="00714083"/>
    <w:rsid w:val="007157B2"/>
    <w:rsid w:val="00716559"/>
    <w:rsid w:val="00716825"/>
    <w:rsid w:val="007205F0"/>
    <w:rsid w:val="0072127E"/>
    <w:rsid w:val="007215B3"/>
    <w:rsid w:val="0072271B"/>
    <w:rsid w:val="007237D7"/>
    <w:rsid w:val="00723C90"/>
    <w:rsid w:val="0072460F"/>
    <w:rsid w:val="00724702"/>
    <w:rsid w:val="00724AD9"/>
    <w:rsid w:val="00725268"/>
    <w:rsid w:val="007258FF"/>
    <w:rsid w:val="00725968"/>
    <w:rsid w:val="00725CA4"/>
    <w:rsid w:val="00725EFC"/>
    <w:rsid w:val="007264FB"/>
    <w:rsid w:val="00727237"/>
    <w:rsid w:val="00730B23"/>
    <w:rsid w:val="00731614"/>
    <w:rsid w:val="007325D2"/>
    <w:rsid w:val="00732A5E"/>
    <w:rsid w:val="00733153"/>
    <w:rsid w:val="0073339B"/>
    <w:rsid w:val="00733B22"/>
    <w:rsid w:val="00733FF7"/>
    <w:rsid w:val="007356DE"/>
    <w:rsid w:val="00735C72"/>
    <w:rsid w:val="007367CA"/>
    <w:rsid w:val="00736C6D"/>
    <w:rsid w:val="007377B5"/>
    <w:rsid w:val="00737C0A"/>
    <w:rsid w:val="00740187"/>
    <w:rsid w:val="0074160D"/>
    <w:rsid w:val="00741C58"/>
    <w:rsid w:val="00741C5E"/>
    <w:rsid w:val="00743262"/>
    <w:rsid w:val="00744153"/>
    <w:rsid w:val="007444BF"/>
    <w:rsid w:val="007444FA"/>
    <w:rsid w:val="00744BE0"/>
    <w:rsid w:val="0074533B"/>
    <w:rsid w:val="00745BD2"/>
    <w:rsid w:val="00746164"/>
    <w:rsid w:val="007463BC"/>
    <w:rsid w:val="00746A22"/>
    <w:rsid w:val="00746AEF"/>
    <w:rsid w:val="00746F94"/>
    <w:rsid w:val="00746FB8"/>
    <w:rsid w:val="00747C97"/>
    <w:rsid w:val="00747CEF"/>
    <w:rsid w:val="0075028B"/>
    <w:rsid w:val="00750D85"/>
    <w:rsid w:val="00750D90"/>
    <w:rsid w:val="00751041"/>
    <w:rsid w:val="00751196"/>
    <w:rsid w:val="00751C20"/>
    <w:rsid w:val="00752B74"/>
    <w:rsid w:val="00752CDD"/>
    <w:rsid w:val="00752E07"/>
    <w:rsid w:val="00752FEA"/>
    <w:rsid w:val="00753B52"/>
    <w:rsid w:val="00753F35"/>
    <w:rsid w:val="0075447B"/>
    <w:rsid w:val="0075523F"/>
    <w:rsid w:val="00755530"/>
    <w:rsid w:val="00755E79"/>
    <w:rsid w:val="007566DE"/>
    <w:rsid w:val="00756F86"/>
    <w:rsid w:val="0075777A"/>
    <w:rsid w:val="0076013E"/>
    <w:rsid w:val="007645ED"/>
    <w:rsid w:val="00765002"/>
    <w:rsid w:val="0076501C"/>
    <w:rsid w:val="007675F7"/>
    <w:rsid w:val="0077091F"/>
    <w:rsid w:val="00771266"/>
    <w:rsid w:val="00772036"/>
    <w:rsid w:val="0077203D"/>
    <w:rsid w:val="00772114"/>
    <w:rsid w:val="00772150"/>
    <w:rsid w:val="007721E3"/>
    <w:rsid w:val="00775850"/>
    <w:rsid w:val="00776534"/>
    <w:rsid w:val="007768AE"/>
    <w:rsid w:val="00776F7B"/>
    <w:rsid w:val="00777322"/>
    <w:rsid w:val="00777C1D"/>
    <w:rsid w:val="00777E1B"/>
    <w:rsid w:val="00780D57"/>
    <w:rsid w:val="00780F67"/>
    <w:rsid w:val="007811DE"/>
    <w:rsid w:val="007818C5"/>
    <w:rsid w:val="00781EF6"/>
    <w:rsid w:val="00781F40"/>
    <w:rsid w:val="00782CE7"/>
    <w:rsid w:val="00782F5F"/>
    <w:rsid w:val="00784306"/>
    <w:rsid w:val="00784450"/>
    <w:rsid w:val="00784DDD"/>
    <w:rsid w:val="00785434"/>
    <w:rsid w:val="007854AB"/>
    <w:rsid w:val="00785789"/>
    <w:rsid w:val="007857B5"/>
    <w:rsid w:val="00785F9C"/>
    <w:rsid w:val="00786820"/>
    <w:rsid w:val="00786D03"/>
    <w:rsid w:val="007874E8"/>
    <w:rsid w:val="00787A4E"/>
    <w:rsid w:val="00787E46"/>
    <w:rsid w:val="00790B36"/>
    <w:rsid w:val="00790C65"/>
    <w:rsid w:val="007914C4"/>
    <w:rsid w:val="007919AA"/>
    <w:rsid w:val="00792891"/>
    <w:rsid w:val="00794258"/>
    <w:rsid w:val="00794997"/>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E07"/>
    <w:rsid w:val="007A3506"/>
    <w:rsid w:val="007A4153"/>
    <w:rsid w:val="007A424B"/>
    <w:rsid w:val="007A46C9"/>
    <w:rsid w:val="007A4983"/>
    <w:rsid w:val="007A501A"/>
    <w:rsid w:val="007A530D"/>
    <w:rsid w:val="007A5CB7"/>
    <w:rsid w:val="007A5CE6"/>
    <w:rsid w:val="007A6113"/>
    <w:rsid w:val="007A6DFA"/>
    <w:rsid w:val="007A6F5D"/>
    <w:rsid w:val="007A7B86"/>
    <w:rsid w:val="007B1A47"/>
    <w:rsid w:val="007B1DED"/>
    <w:rsid w:val="007B2741"/>
    <w:rsid w:val="007B3EEC"/>
    <w:rsid w:val="007B3F83"/>
    <w:rsid w:val="007B3FFF"/>
    <w:rsid w:val="007B47BA"/>
    <w:rsid w:val="007B4B17"/>
    <w:rsid w:val="007B62F5"/>
    <w:rsid w:val="007B7A1F"/>
    <w:rsid w:val="007B7ACF"/>
    <w:rsid w:val="007C07D2"/>
    <w:rsid w:val="007C0C41"/>
    <w:rsid w:val="007C0E51"/>
    <w:rsid w:val="007C0F7B"/>
    <w:rsid w:val="007C12FC"/>
    <w:rsid w:val="007C1A56"/>
    <w:rsid w:val="007C1BD2"/>
    <w:rsid w:val="007C22A2"/>
    <w:rsid w:val="007C2322"/>
    <w:rsid w:val="007C2370"/>
    <w:rsid w:val="007C44C4"/>
    <w:rsid w:val="007C4B16"/>
    <w:rsid w:val="007C573D"/>
    <w:rsid w:val="007C5EB7"/>
    <w:rsid w:val="007D02AD"/>
    <w:rsid w:val="007D0368"/>
    <w:rsid w:val="007D04E6"/>
    <w:rsid w:val="007D06EE"/>
    <w:rsid w:val="007D0D57"/>
    <w:rsid w:val="007D1D33"/>
    <w:rsid w:val="007D2628"/>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23B"/>
    <w:rsid w:val="007D7965"/>
    <w:rsid w:val="007E03E4"/>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0F5C"/>
    <w:rsid w:val="00801AB1"/>
    <w:rsid w:val="00801EA6"/>
    <w:rsid w:val="00802C82"/>
    <w:rsid w:val="008033B8"/>
    <w:rsid w:val="008033C1"/>
    <w:rsid w:val="00803689"/>
    <w:rsid w:val="00803DDC"/>
    <w:rsid w:val="00803EB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4A4"/>
    <w:rsid w:val="008275A6"/>
    <w:rsid w:val="00827773"/>
    <w:rsid w:val="00827B06"/>
    <w:rsid w:val="00827E2A"/>
    <w:rsid w:val="00830148"/>
    <w:rsid w:val="00830AF2"/>
    <w:rsid w:val="00830BFC"/>
    <w:rsid w:val="00830EAB"/>
    <w:rsid w:val="008310D2"/>
    <w:rsid w:val="00831F24"/>
    <w:rsid w:val="00832458"/>
    <w:rsid w:val="00832601"/>
    <w:rsid w:val="00832DD9"/>
    <w:rsid w:val="00832EE1"/>
    <w:rsid w:val="00833A00"/>
    <w:rsid w:val="0083687A"/>
    <w:rsid w:val="0083775C"/>
    <w:rsid w:val="008400CE"/>
    <w:rsid w:val="00841487"/>
    <w:rsid w:val="008415DF"/>
    <w:rsid w:val="0084170D"/>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E57"/>
    <w:rsid w:val="0085101E"/>
    <w:rsid w:val="00852470"/>
    <w:rsid w:val="008524EA"/>
    <w:rsid w:val="00852846"/>
    <w:rsid w:val="008538E8"/>
    <w:rsid w:val="00854CBF"/>
    <w:rsid w:val="00855CB8"/>
    <w:rsid w:val="00856618"/>
    <w:rsid w:val="008566CA"/>
    <w:rsid w:val="008568C5"/>
    <w:rsid w:val="0085699B"/>
    <w:rsid w:val="00856B2E"/>
    <w:rsid w:val="008576E8"/>
    <w:rsid w:val="00862342"/>
    <w:rsid w:val="00862708"/>
    <w:rsid w:val="00862D18"/>
    <w:rsid w:val="008632E4"/>
    <w:rsid w:val="008638FB"/>
    <w:rsid w:val="00864BA7"/>
    <w:rsid w:val="00864FA0"/>
    <w:rsid w:val="00864FD5"/>
    <w:rsid w:val="00867216"/>
    <w:rsid w:val="0086743B"/>
    <w:rsid w:val="0087014B"/>
    <w:rsid w:val="00870347"/>
    <w:rsid w:val="008708C1"/>
    <w:rsid w:val="00870CEF"/>
    <w:rsid w:val="0087154B"/>
    <w:rsid w:val="00871579"/>
    <w:rsid w:val="00871B86"/>
    <w:rsid w:val="00872962"/>
    <w:rsid w:val="008729E8"/>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74B2"/>
    <w:rsid w:val="0088119F"/>
    <w:rsid w:val="008815C0"/>
    <w:rsid w:val="0088250C"/>
    <w:rsid w:val="008832BB"/>
    <w:rsid w:val="00883477"/>
    <w:rsid w:val="00884182"/>
    <w:rsid w:val="008844CC"/>
    <w:rsid w:val="00884DE8"/>
    <w:rsid w:val="0088512A"/>
    <w:rsid w:val="00885B9F"/>
    <w:rsid w:val="00885F38"/>
    <w:rsid w:val="008864C3"/>
    <w:rsid w:val="00886B83"/>
    <w:rsid w:val="00887AA2"/>
    <w:rsid w:val="008900AB"/>
    <w:rsid w:val="00890CC0"/>
    <w:rsid w:val="00891630"/>
    <w:rsid w:val="008916E6"/>
    <w:rsid w:val="00891B0F"/>
    <w:rsid w:val="0089263D"/>
    <w:rsid w:val="008926B9"/>
    <w:rsid w:val="00892BD6"/>
    <w:rsid w:val="00892C69"/>
    <w:rsid w:val="00892CA6"/>
    <w:rsid w:val="00893562"/>
    <w:rsid w:val="008935B1"/>
    <w:rsid w:val="00894579"/>
    <w:rsid w:val="008959FD"/>
    <w:rsid w:val="00895C6B"/>
    <w:rsid w:val="00896D0A"/>
    <w:rsid w:val="0089751D"/>
    <w:rsid w:val="00897A46"/>
    <w:rsid w:val="00897F8F"/>
    <w:rsid w:val="008A0126"/>
    <w:rsid w:val="008A07C5"/>
    <w:rsid w:val="008A0954"/>
    <w:rsid w:val="008A0D61"/>
    <w:rsid w:val="008A241B"/>
    <w:rsid w:val="008A2A96"/>
    <w:rsid w:val="008A3F58"/>
    <w:rsid w:val="008A4D01"/>
    <w:rsid w:val="008A531F"/>
    <w:rsid w:val="008A596A"/>
    <w:rsid w:val="008A5DAC"/>
    <w:rsid w:val="008A636F"/>
    <w:rsid w:val="008A6F31"/>
    <w:rsid w:val="008A7065"/>
    <w:rsid w:val="008A78FE"/>
    <w:rsid w:val="008A79F4"/>
    <w:rsid w:val="008A7EC2"/>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71AE"/>
    <w:rsid w:val="008B761D"/>
    <w:rsid w:val="008C0190"/>
    <w:rsid w:val="008C01FF"/>
    <w:rsid w:val="008C0A9D"/>
    <w:rsid w:val="008C17E1"/>
    <w:rsid w:val="008C32C7"/>
    <w:rsid w:val="008C455A"/>
    <w:rsid w:val="008C4A4A"/>
    <w:rsid w:val="008C4CA8"/>
    <w:rsid w:val="008C4EDA"/>
    <w:rsid w:val="008C5305"/>
    <w:rsid w:val="008C5566"/>
    <w:rsid w:val="008C562A"/>
    <w:rsid w:val="008C5863"/>
    <w:rsid w:val="008C6D7A"/>
    <w:rsid w:val="008C7124"/>
    <w:rsid w:val="008C713E"/>
    <w:rsid w:val="008C76FE"/>
    <w:rsid w:val="008C7B9B"/>
    <w:rsid w:val="008D0D6B"/>
    <w:rsid w:val="008D0E73"/>
    <w:rsid w:val="008D0EAD"/>
    <w:rsid w:val="008D14B9"/>
    <w:rsid w:val="008D1648"/>
    <w:rsid w:val="008D2745"/>
    <w:rsid w:val="008D2A84"/>
    <w:rsid w:val="008D4D1D"/>
    <w:rsid w:val="008D5D67"/>
    <w:rsid w:val="008D5F2F"/>
    <w:rsid w:val="008D6448"/>
    <w:rsid w:val="008D7E7E"/>
    <w:rsid w:val="008E02FA"/>
    <w:rsid w:val="008E1922"/>
    <w:rsid w:val="008E1CD3"/>
    <w:rsid w:val="008E1F25"/>
    <w:rsid w:val="008E202D"/>
    <w:rsid w:val="008E27CB"/>
    <w:rsid w:val="008E2AE3"/>
    <w:rsid w:val="008E449D"/>
    <w:rsid w:val="008E57B4"/>
    <w:rsid w:val="008E58A8"/>
    <w:rsid w:val="008E5DD0"/>
    <w:rsid w:val="008E6374"/>
    <w:rsid w:val="008E6791"/>
    <w:rsid w:val="008E72A7"/>
    <w:rsid w:val="008E7C43"/>
    <w:rsid w:val="008F04AE"/>
    <w:rsid w:val="008F0682"/>
    <w:rsid w:val="008F06E3"/>
    <w:rsid w:val="008F0D7F"/>
    <w:rsid w:val="008F247C"/>
    <w:rsid w:val="008F2C96"/>
    <w:rsid w:val="008F349F"/>
    <w:rsid w:val="008F3767"/>
    <w:rsid w:val="008F3AB4"/>
    <w:rsid w:val="008F432B"/>
    <w:rsid w:val="008F43F9"/>
    <w:rsid w:val="008F4452"/>
    <w:rsid w:val="008F4F69"/>
    <w:rsid w:val="008F4FFD"/>
    <w:rsid w:val="008F53DF"/>
    <w:rsid w:val="008F6E39"/>
    <w:rsid w:val="00900473"/>
    <w:rsid w:val="009005B3"/>
    <w:rsid w:val="00900ED9"/>
    <w:rsid w:val="009013F6"/>
    <w:rsid w:val="00901880"/>
    <w:rsid w:val="009018CE"/>
    <w:rsid w:val="00901BEE"/>
    <w:rsid w:val="00901D16"/>
    <w:rsid w:val="00901EB2"/>
    <w:rsid w:val="00902AA5"/>
    <w:rsid w:val="009044CE"/>
    <w:rsid w:val="00904F14"/>
    <w:rsid w:val="0090562E"/>
    <w:rsid w:val="00905A66"/>
    <w:rsid w:val="00905DB4"/>
    <w:rsid w:val="00906446"/>
    <w:rsid w:val="00906459"/>
    <w:rsid w:val="00906C94"/>
    <w:rsid w:val="00910F8C"/>
    <w:rsid w:val="00911100"/>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01D9"/>
    <w:rsid w:val="009209BA"/>
    <w:rsid w:val="0092251C"/>
    <w:rsid w:val="009226C5"/>
    <w:rsid w:val="009229C9"/>
    <w:rsid w:val="0092357A"/>
    <w:rsid w:val="0092402B"/>
    <w:rsid w:val="00924588"/>
    <w:rsid w:val="00924A9F"/>
    <w:rsid w:val="00925042"/>
    <w:rsid w:val="009251E0"/>
    <w:rsid w:val="00925E8E"/>
    <w:rsid w:val="009269BD"/>
    <w:rsid w:val="00926AA3"/>
    <w:rsid w:val="009303D6"/>
    <w:rsid w:val="00930B44"/>
    <w:rsid w:val="00931225"/>
    <w:rsid w:val="0093126B"/>
    <w:rsid w:val="0093128F"/>
    <w:rsid w:val="00931CCE"/>
    <w:rsid w:val="00931D72"/>
    <w:rsid w:val="00932288"/>
    <w:rsid w:val="00932774"/>
    <w:rsid w:val="00933023"/>
    <w:rsid w:val="00933603"/>
    <w:rsid w:val="009347D6"/>
    <w:rsid w:val="009350DA"/>
    <w:rsid w:val="0093570B"/>
    <w:rsid w:val="009357E4"/>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EE6"/>
    <w:rsid w:val="00953D69"/>
    <w:rsid w:val="00954226"/>
    <w:rsid w:val="00954658"/>
    <w:rsid w:val="00956153"/>
    <w:rsid w:val="009561B4"/>
    <w:rsid w:val="009565AE"/>
    <w:rsid w:val="00956AA3"/>
    <w:rsid w:val="009574B7"/>
    <w:rsid w:val="009605F6"/>
    <w:rsid w:val="009611D3"/>
    <w:rsid w:val="0096138E"/>
    <w:rsid w:val="0096171A"/>
    <w:rsid w:val="00962193"/>
    <w:rsid w:val="009627CF"/>
    <w:rsid w:val="00962A11"/>
    <w:rsid w:val="00962E7D"/>
    <w:rsid w:val="0096406A"/>
    <w:rsid w:val="00964A4F"/>
    <w:rsid w:val="00964D10"/>
    <w:rsid w:val="00965153"/>
    <w:rsid w:val="00965371"/>
    <w:rsid w:val="00965468"/>
    <w:rsid w:val="00965874"/>
    <w:rsid w:val="00965E71"/>
    <w:rsid w:val="009667F1"/>
    <w:rsid w:val="009668D3"/>
    <w:rsid w:val="009670C2"/>
    <w:rsid w:val="00970100"/>
    <w:rsid w:val="0097040B"/>
    <w:rsid w:val="00972177"/>
    <w:rsid w:val="00973222"/>
    <w:rsid w:val="00973DF4"/>
    <w:rsid w:val="00974624"/>
    <w:rsid w:val="00975087"/>
    <w:rsid w:val="00975C59"/>
    <w:rsid w:val="00975DEE"/>
    <w:rsid w:val="00976215"/>
    <w:rsid w:val="00976309"/>
    <w:rsid w:val="0097700C"/>
    <w:rsid w:val="009773D6"/>
    <w:rsid w:val="00977A8A"/>
    <w:rsid w:val="00977C0C"/>
    <w:rsid w:val="009808B3"/>
    <w:rsid w:val="0098149C"/>
    <w:rsid w:val="00982626"/>
    <w:rsid w:val="00982DCA"/>
    <w:rsid w:val="00983210"/>
    <w:rsid w:val="009833D1"/>
    <w:rsid w:val="0098376A"/>
    <w:rsid w:val="00983F50"/>
    <w:rsid w:val="0098413C"/>
    <w:rsid w:val="0098560B"/>
    <w:rsid w:val="0098605C"/>
    <w:rsid w:val="0098675C"/>
    <w:rsid w:val="00987290"/>
    <w:rsid w:val="009872EB"/>
    <w:rsid w:val="009876EE"/>
    <w:rsid w:val="00987AA2"/>
    <w:rsid w:val="00987B8C"/>
    <w:rsid w:val="00987CEE"/>
    <w:rsid w:val="00990C19"/>
    <w:rsid w:val="00991530"/>
    <w:rsid w:val="009916DA"/>
    <w:rsid w:val="00991D80"/>
    <w:rsid w:val="00991EA5"/>
    <w:rsid w:val="009920AC"/>
    <w:rsid w:val="00992B33"/>
    <w:rsid w:val="009945E8"/>
    <w:rsid w:val="00994FC7"/>
    <w:rsid w:val="00995832"/>
    <w:rsid w:val="009959BD"/>
    <w:rsid w:val="00995E92"/>
    <w:rsid w:val="00996363"/>
    <w:rsid w:val="009964CD"/>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4A0D"/>
    <w:rsid w:val="009A4AA5"/>
    <w:rsid w:val="009A55FF"/>
    <w:rsid w:val="009A57CD"/>
    <w:rsid w:val="009A5D5A"/>
    <w:rsid w:val="009A5DEE"/>
    <w:rsid w:val="009A6277"/>
    <w:rsid w:val="009A6783"/>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5EE"/>
    <w:rsid w:val="009B5882"/>
    <w:rsid w:val="009B6644"/>
    <w:rsid w:val="009B69BA"/>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7301"/>
    <w:rsid w:val="009C749C"/>
    <w:rsid w:val="009C788F"/>
    <w:rsid w:val="009C7ACB"/>
    <w:rsid w:val="009C7EF2"/>
    <w:rsid w:val="009D135A"/>
    <w:rsid w:val="009D16E4"/>
    <w:rsid w:val="009D1A50"/>
    <w:rsid w:val="009D2F15"/>
    <w:rsid w:val="009D321C"/>
    <w:rsid w:val="009D32F7"/>
    <w:rsid w:val="009D3F25"/>
    <w:rsid w:val="009D4A53"/>
    <w:rsid w:val="009D4B3F"/>
    <w:rsid w:val="009D500B"/>
    <w:rsid w:val="009D5228"/>
    <w:rsid w:val="009D57AF"/>
    <w:rsid w:val="009D5899"/>
    <w:rsid w:val="009D5EFF"/>
    <w:rsid w:val="009D60D2"/>
    <w:rsid w:val="009D648F"/>
    <w:rsid w:val="009D737C"/>
    <w:rsid w:val="009D7683"/>
    <w:rsid w:val="009D7811"/>
    <w:rsid w:val="009D7E70"/>
    <w:rsid w:val="009D7EC6"/>
    <w:rsid w:val="009E0313"/>
    <w:rsid w:val="009E1C84"/>
    <w:rsid w:val="009E1E04"/>
    <w:rsid w:val="009E1FF9"/>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416"/>
    <w:rsid w:val="00A125BD"/>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0A7"/>
    <w:rsid w:val="00A17BA4"/>
    <w:rsid w:val="00A207DC"/>
    <w:rsid w:val="00A20CEB"/>
    <w:rsid w:val="00A21118"/>
    <w:rsid w:val="00A22977"/>
    <w:rsid w:val="00A229E4"/>
    <w:rsid w:val="00A232E0"/>
    <w:rsid w:val="00A23A82"/>
    <w:rsid w:val="00A241F9"/>
    <w:rsid w:val="00A24437"/>
    <w:rsid w:val="00A252B6"/>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3E2"/>
    <w:rsid w:val="00A450A0"/>
    <w:rsid w:val="00A45961"/>
    <w:rsid w:val="00A45B2B"/>
    <w:rsid w:val="00A46B6F"/>
    <w:rsid w:val="00A47C6D"/>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65AC"/>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9B1"/>
    <w:rsid w:val="00A63A95"/>
    <w:rsid w:val="00A63DF1"/>
    <w:rsid w:val="00A6410C"/>
    <w:rsid w:val="00A6435A"/>
    <w:rsid w:val="00A647CD"/>
    <w:rsid w:val="00A6560B"/>
    <w:rsid w:val="00A65C42"/>
    <w:rsid w:val="00A65EF7"/>
    <w:rsid w:val="00A66396"/>
    <w:rsid w:val="00A671D1"/>
    <w:rsid w:val="00A67879"/>
    <w:rsid w:val="00A67EF5"/>
    <w:rsid w:val="00A7218B"/>
    <w:rsid w:val="00A7228C"/>
    <w:rsid w:val="00A7234D"/>
    <w:rsid w:val="00A72703"/>
    <w:rsid w:val="00A72852"/>
    <w:rsid w:val="00A72E28"/>
    <w:rsid w:val="00A732BA"/>
    <w:rsid w:val="00A74454"/>
    <w:rsid w:val="00A754DD"/>
    <w:rsid w:val="00A75510"/>
    <w:rsid w:val="00A75723"/>
    <w:rsid w:val="00A75E47"/>
    <w:rsid w:val="00A766AD"/>
    <w:rsid w:val="00A76961"/>
    <w:rsid w:val="00A76BFB"/>
    <w:rsid w:val="00A8122B"/>
    <w:rsid w:val="00A81726"/>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976"/>
    <w:rsid w:val="00A90B03"/>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293"/>
    <w:rsid w:val="00AA14C3"/>
    <w:rsid w:val="00AA188D"/>
    <w:rsid w:val="00AA3EDF"/>
    <w:rsid w:val="00AA4239"/>
    <w:rsid w:val="00AA4D46"/>
    <w:rsid w:val="00AA5361"/>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379"/>
    <w:rsid w:val="00AB3F05"/>
    <w:rsid w:val="00AB4013"/>
    <w:rsid w:val="00AB462F"/>
    <w:rsid w:val="00AB4BB5"/>
    <w:rsid w:val="00AB4C0D"/>
    <w:rsid w:val="00AB557D"/>
    <w:rsid w:val="00AB6477"/>
    <w:rsid w:val="00AB6533"/>
    <w:rsid w:val="00AB689D"/>
    <w:rsid w:val="00AB6EB6"/>
    <w:rsid w:val="00AB7675"/>
    <w:rsid w:val="00AB7AA7"/>
    <w:rsid w:val="00AB7E48"/>
    <w:rsid w:val="00AC070D"/>
    <w:rsid w:val="00AC1A14"/>
    <w:rsid w:val="00AC2A94"/>
    <w:rsid w:val="00AC322C"/>
    <w:rsid w:val="00AC33E2"/>
    <w:rsid w:val="00AC3674"/>
    <w:rsid w:val="00AC4423"/>
    <w:rsid w:val="00AC4A20"/>
    <w:rsid w:val="00AC4FEA"/>
    <w:rsid w:val="00AC5213"/>
    <w:rsid w:val="00AC53F3"/>
    <w:rsid w:val="00AC56B3"/>
    <w:rsid w:val="00AC584E"/>
    <w:rsid w:val="00AC5B6E"/>
    <w:rsid w:val="00AC5E1A"/>
    <w:rsid w:val="00AC7B80"/>
    <w:rsid w:val="00AD0A32"/>
    <w:rsid w:val="00AD1442"/>
    <w:rsid w:val="00AD14AB"/>
    <w:rsid w:val="00AD1B73"/>
    <w:rsid w:val="00AD20ED"/>
    <w:rsid w:val="00AD20FA"/>
    <w:rsid w:val="00AD2CBD"/>
    <w:rsid w:val="00AD2DED"/>
    <w:rsid w:val="00AD2F04"/>
    <w:rsid w:val="00AD2FE7"/>
    <w:rsid w:val="00AD30DD"/>
    <w:rsid w:val="00AD39EF"/>
    <w:rsid w:val="00AD3BC2"/>
    <w:rsid w:val="00AD4264"/>
    <w:rsid w:val="00AD4434"/>
    <w:rsid w:val="00AD53AA"/>
    <w:rsid w:val="00AD72BC"/>
    <w:rsid w:val="00AD79BF"/>
    <w:rsid w:val="00AD7C84"/>
    <w:rsid w:val="00AE03CE"/>
    <w:rsid w:val="00AE07E1"/>
    <w:rsid w:val="00AE1170"/>
    <w:rsid w:val="00AE1D52"/>
    <w:rsid w:val="00AE2133"/>
    <w:rsid w:val="00AE2622"/>
    <w:rsid w:val="00AE43F4"/>
    <w:rsid w:val="00AE4550"/>
    <w:rsid w:val="00AE5099"/>
    <w:rsid w:val="00AE50D3"/>
    <w:rsid w:val="00AE597B"/>
    <w:rsid w:val="00AE5A64"/>
    <w:rsid w:val="00AE606A"/>
    <w:rsid w:val="00AE7312"/>
    <w:rsid w:val="00AF013B"/>
    <w:rsid w:val="00AF0A66"/>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5B9"/>
    <w:rsid w:val="00B03EBB"/>
    <w:rsid w:val="00B04DD4"/>
    <w:rsid w:val="00B0530B"/>
    <w:rsid w:val="00B05993"/>
    <w:rsid w:val="00B060CD"/>
    <w:rsid w:val="00B0686C"/>
    <w:rsid w:val="00B06E97"/>
    <w:rsid w:val="00B077F2"/>
    <w:rsid w:val="00B102AD"/>
    <w:rsid w:val="00B10681"/>
    <w:rsid w:val="00B10B50"/>
    <w:rsid w:val="00B116D4"/>
    <w:rsid w:val="00B1238A"/>
    <w:rsid w:val="00B12EA2"/>
    <w:rsid w:val="00B134E7"/>
    <w:rsid w:val="00B13A79"/>
    <w:rsid w:val="00B14B59"/>
    <w:rsid w:val="00B14FC0"/>
    <w:rsid w:val="00B159F7"/>
    <w:rsid w:val="00B1649D"/>
    <w:rsid w:val="00B16524"/>
    <w:rsid w:val="00B165E7"/>
    <w:rsid w:val="00B16E86"/>
    <w:rsid w:val="00B17315"/>
    <w:rsid w:val="00B20364"/>
    <w:rsid w:val="00B20661"/>
    <w:rsid w:val="00B2130C"/>
    <w:rsid w:val="00B215D0"/>
    <w:rsid w:val="00B21EDE"/>
    <w:rsid w:val="00B226A9"/>
    <w:rsid w:val="00B2300D"/>
    <w:rsid w:val="00B230F6"/>
    <w:rsid w:val="00B23139"/>
    <w:rsid w:val="00B232D6"/>
    <w:rsid w:val="00B23368"/>
    <w:rsid w:val="00B23539"/>
    <w:rsid w:val="00B23551"/>
    <w:rsid w:val="00B24DC8"/>
    <w:rsid w:val="00B25335"/>
    <w:rsid w:val="00B2556A"/>
    <w:rsid w:val="00B25FA0"/>
    <w:rsid w:val="00B26391"/>
    <w:rsid w:val="00B26A06"/>
    <w:rsid w:val="00B27AD5"/>
    <w:rsid w:val="00B27F3D"/>
    <w:rsid w:val="00B30E74"/>
    <w:rsid w:val="00B3108F"/>
    <w:rsid w:val="00B3114E"/>
    <w:rsid w:val="00B3148D"/>
    <w:rsid w:val="00B31CC5"/>
    <w:rsid w:val="00B32AD4"/>
    <w:rsid w:val="00B3357B"/>
    <w:rsid w:val="00B33D79"/>
    <w:rsid w:val="00B33E3B"/>
    <w:rsid w:val="00B33F59"/>
    <w:rsid w:val="00B34483"/>
    <w:rsid w:val="00B34DAE"/>
    <w:rsid w:val="00B359E3"/>
    <w:rsid w:val="00B365CA"/>
    <w:rsid w:val="00B36CA1"/>
    <w:rsid w:val="00B379C8"/>
    <w:rsid w:val="00B40514"/>
    <w:rsid w:val="00B41014"/>
    <w:rsid w:val="00B41534"/>
    <w:rsid w:val="00B4154B"/>
    <w:rsid w:val="00B41784"/>
    <w:rsid w:val="00B42E68"/>
    <w:rsid w:val="00B43910"/>
    <w:rsid w:val="00B4420E"/>
    <w:rsid w:val="00B45669"/>
    <w:rsid w:val="00B46554"/>
    <w:rsid w:val="00B466F0"/>
    <w:rsid w:val="00B467BB"/>
    <w:rsid w:val="00B47E3B"/>
    <w:rsid w:val="00B50892"/>
    <w:rsid w:val="00B511ED"/>
    <w:rsid w:val="00B51602"/>
    <w:rsid w:val="00B51F21"/>
    <w:rsid w:val="00B52540"/>
    <w:rsid w:val="00B53C34"/>
    <w:rsid w:val="00B53F0D"/>
    <w:rsid w:val="00B5455A"/>
    <w:rsid w:val="00B5657A"/>
    <w:rsid w:val="00B56B84"/>
    <w:rsid w:val="00B57961"/>
    <w:rsid w:val="00B57C56"/>
    <w:rsid w:val="00B60BE1"/>
    <w:rsid w:val="00B61614"/>
    <w:rsid w:val="00B61672"/>
    <w:rsid w:val="00B61B8F"/>
    <w:rsid w:val="00B61EEB"/>
    <w:rsid w:val="00B62488"/>
    <w:rsid w:val="00B628A4"/>
    <w:rsid w:val="00B62D2F"/>
    <w:rsid w:val="00B63293"/>
    <w:rsid w:val="00B64774"/>
    <w:rsid w:val="00B64B13"/>
    <w:rsid w:val="00B64D8D"/>
    <w:rsid w:val="00B64E06"/>
    <w:rsid w:val="00B65CB5"/>
    <w:rsid w:val="00B65D4A"/>
    <w:rsid w:val="00B668FC"/>
    <w:rsid w:val="00B66B65"/>
    <w:rsid w:val="00B70A11"/>
    <w:rsid w:val="00B70F06"/>
    <w:rsid w:val="00B70FEF"/>
    <w:rsid w:val="00B7145B"/>
    <w:rsid w:val="00B71881"/>
    <w:rsid w:val="00B718FB"/>
    <w:rsid w:val="00B721B5"/>
    <w:rsid w:val="00B728FD"/>
    <w:rsid w:val="00B72FA4"/>
    <w:rsid w:val="00B73290"/>
    <w:rsid w:val="00B7374F"/>
    <w:rsid w:val="00B74500"/>
    <w:rsid w:val="00B74AFB"/>
    <w:rsid w:val="00B7547E"/>
    <w:rsid w:val="00B754EA"/>
    <w:rsid w:val="00B75A04"/>
    <w:rsid w:val="00B7605A"/>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80A"/>
    <w:rsid w:val="00B83638"/>
    <w:rsid w:val="00B839BC"/>
    <w:rsid w:val="00B84738"/>
    <w:rsid w:val="00B84B83"/>
    <w:rsid w:val="00B8517C"/>
    <w:rsid w:val="00B853F9"/>
    <w:rsid w:val="00B860D7"/>
    <w:rsid w:val="00B86158"/>
    <w:rsid w:val="00B868DC"/>
    <w:rsid w:val="00B92342"/>
    <w:rsid w:val="00B92412"/>
    <w:rsid w:val="00B92971"/>
    <w:rsid w:val="00B92D1A"/>
    <w:rsid w:val="00B93445"/>
    <w:rsid w:val="00B93720"/>
    <w:rsid w:val="00B938AB"/>
    <w:rsid w:val="00B939A1"/>
    <w:rsid w:val="00B93B87"/>
    <w:rsid w:val="00B9431E"/>
    <w:rsid w:val="00B9465D"/>
    <w:rsid w:val="00B9473D"/>
    <w:rsid w:val="00B94881"/>
    <w:rsid w:val="00B9517B"/>
    <w:rsid w:val="00B95517"/>
    <w:rsid w:val="00B95C12"/>
    <w:rsid w:val="00B961F1"/>
    <w:rsid w:val="00B96885"/>
    <w:rsid w:val="00B96C4E"/>
    <w:rsid w:val="00B973E7"/>
    <w:rsid w:val="00B979CC"/>
    <w:rsid w:val="00B97C50"/>
    <w:rsid w:val="00BA0AC7"/>
    <w:rsid w:val="00BA1434"/>
    <w:rsid w:val="00BA3212"/>
    <w:rsid w:val="00BA3B4B"/>
    <w:rsid w:val="00BA40BE"/>
    <w:rsid w:val="00BA467B"/>
    <w:rsid w:val="00BA4D41"/>
    <w:rsid w:val="00BA57F5"/>
    <w:rsid w:val="00BA58BB"/>
    <w:rsid w:val="00BA67FC"/>
    <w:rsid w:val="00BA6B8E"/>
    <w:rsid w:val="00BA70FF"/>
    <w:rsid w:val="00BA711E"/>
    <w:rsid w:val="00BA7285"/>
    <w:rsid w:val="00BA7BE8"/>
    <w:rsid w:val="00BB08F7"/>
    <w:rsid w:val="00BB0BA7"/>
    <w:rsid w:val="00BB0CA1"/>
    <w:rsid w:val="00BB133D"/>
    <w:rsid w:val="00BB1924"/>
    <w:rsid w:val="00BB26EB"/>
    <w:rsid w:val="00BB2C15"/>
    <w:rsid w:val="00BB33F5"/>
    <w:rsid w:val="00BB37AA"/>
    <w:rsid w:val="00BB3C8A"/>
    <w:rsid w:val="00BB4049"/>
    <w:rsid w:val="00BB5E0A"/>
    <w:rsid w:val="00BB7AF7"/>
    <w:rsid w:val="00BC00C1"/>
    <w:rsid w:val="00BC0230"/>
    <w:rsid w:val="00BC0688"/>
    <w:rsid w:val="00BC11B0"/>
    <w:rsid w:val="00BC1478"/>
    <w:rsid w:val="00BC1BFE"/>
    <w:rsid w:val="00BC1EF2"/>
    <w:rsid w:val="00BC2264"/>
    <w:rsid w:val="00BC2C3A"/>
    <w:rsid w:val="00BC3982"/>
    <w:rsid w:val="00BC3B6C"/>
    <w:rsid w:val="00BC3CE2"/>
    <w:rsid w:val="00BC3E3B"/>
    <w:rsid w:val="00BC52DE"/>
    <w:rsid w:val="00BC69C6"/>
    <w:rsid w:val="00BC7956"/>
    <w:rsid w:val="00BD0288"/>
    <w:rsid w:val="00BD02E6"/>
    <w:rsid w:val="00BD065D"/>
    <w:rsid w:val="00BD0CF8"/>
    <w:rsid w:val="00BD0DDA"/>
    <w:rsid w:val="00BD1469"/>
    <w:rsid w:val="00BD154F"/>
    <w:rsid w:val="00BD1AFC"/>
    <w:rsid w:val="00BD1E2C"/>
    <w:rsid w:val="00BD1FF6"/>
    <w:rsid w:val="00BD2256"/>
    <w:rsid w:val="00BD24B6"/>
    <w:rsid w:val="00BD3080"/>
    <w:rsid w:val="00BD3124"/>
    <w:rsid w:val="00BD316A"/>
    <w:rsid w:val="00BD33EC"/>
    <w:rsid w:val="00BD3A94"/>
    <w:rsid w:val="00BD49DE"/>
    <w:rsid w:val="00BD4CF5"/>
    <w:rsid w:val="00BD5C38"/>
    <w:rsid w:val="00BD661C"/>
    <w:rsid w:val="00BD6A1E"/>
    <w:rsid w:val="00BD6C08"/>
    <w:rsid w:val="00BD72A6"/>
    <w:rsid w:val="00BD762F"/>
    <w:rsid w:val="00BD7A8E"/>
    <w:rsid w:val="00BD7D70"/>
    <w:rsid w:val="00BE0529"/>
    <w:rsid w:val="00BE09C7"/>
    <w:rsid w:val="00BE12EF"/>
    <w:rsid w:val="00BE1AA5"/>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6B77"/>
    <w:rsid w:val="00BE7783"/>
    <w:rsid w:val="00BE7B46"/>
    <w:rsid w:val="00BF02D4"/>
    <w:rsid w:val="00BF0724"/>
    <w:rsid w:val="00BF15B9"/>
    <w:rsid w:val="00BF1896"/>
    <w:rsid w:val="00BF324E"/>
    <w:rsid w:val="00BF329F"/>
    <w:rsid w:val="00BF3D79"/>
    <w:rsid w:val="00BF3DDC"/>
    <w:rsid w:val="00BF4674"/>
    <w:rsid w:val="00BF47B7"/>
    <w:rsid w:val="00BF5020"/>
    <w:rsid w:val="00BF55BA"/>
    <w:rsid w:val="00BF58F2"/>
    <w:rsid w:val="00BF590D"/>
    <w:rsid w:val="00BF63BD"/>
    <w:rsid w:val="00BF6637"/>
    <w:rsid w:val="00BF756C"/>
    <w:rsid w:val="00BF7870"/>
    <w:rsid w:val="00BF794A"/>
    <w:rsid w:val="00BF7E92"/>
    <w:rsid w:val="00C017D4"/>
    <w:rsid w:val="00C023E0"/>
    <w:rsid w:val="00C024DF"/>
    <w:rsid w:val="00C028F9"/>
    <w:rsid w:val="00C02F52"/>
    <w:rsid w:val="00C0308D"/>
    <w:rsid w:val="00C035A7"/>
    <w:rsid w:val="00C0387C"/>
    <w:rsid w:val="00C04A2A"/>
    <w:rsid w:val="00C04FA3"/>
    <w:rsid w:val="00C051F1"/>
    <w:rsid w:val="00C05216"/>
    <w:rsid w:val="00C05754"/>
    <w:rsid w:val="00C0586E"/>
    <w:rsid w:val="00C05C1A"/>
    <w:rsid w:val="00C05F6F"/>
    <w:rsid w:val="00C06021"/>
    <w:rsid w:val="00C06091"/>
    <w:rsid w:val="00C06AFA"/>
    <w:rsid w:val="00C06BCC"/>
    <w:rsid w:val="00C077A9"/>
    <w:rsid w:val="00C10D34"/>
    <w:rsid w:val="00C11612"/>
    <w:rsid w:val="00C11B8C"/>
    <w:rsid w:val="00C12101"/>
    <w:rsid w:val="00C1230F"/>
    <w:rsid w:val="00C12EC3"/>
    <w:rsid w:val="00C13810"/>
    <w:rsid w:val="00C13934"/>
    <w:rsid w:val="00C13B21"/>
    <w:rsid w:val="00C14234"/>
    <w:rsid w:val="00C14C9F"/>
    <w:rsid w:val="00C155CC"/>
    <w:rsid w:val="00C15941"/>
    <w:rsid w:val="00C15A4A"/>
    <w:rsid w:val="00C160D1"/>
    <w:rsid w:val="00C168BD"/>
    <w:rsid w:val="00C16E20"/>
    <w:rsid w:val="00C16F02"/>
    <w:rsid w:val="00C170CD"/>
    <w:rsid w:val="00C2047B"/>
    <w:rsid w:val="00C20A4F"/>
    <w:rsid w:val="00C215BB"/>
    <w:rsid w:val="00C21801"/>
    <w:rsid w:val="00C2304D"/>
    <w:rsid w:val="00C236EB"/>
    <w:rsid w:val="00C23BE9"/>
    <w:rsid w:val="00C24016"/>
    <w:rsid w:val="00C24904"/>
    <w:rsid w:val="00C2541E"/>
    <w:rsid w:val="00C25F86"/>
    <w:rsid w:val="00C2649C"/>
    <w:rsid w:val="00C26623"/>
    <w:rsid w:val="00C26685"/>
    <w:rsid w:val="00C26D74"/>
    <w:rsid w:val="00C2701E"/>
    <w:rsid w:val="00C27850"/>
    <w:rsid w:val="00C30824"/>
    <w:rsid w:val="00C30AA8"/>
    <w:rsid w:val="00C30F87"/>
    <w:rsid w:val="00C31BF8"/>
    <w:rsid w:val="00C3273C"/>
    <w:rsid w:val="00C3307F"/>
    <w:rsid w:val="00C33F77"/>
    <w:rsid w:val="00C348FF"/>
    <w:rsid w:val="00C34CC3"/>
    <w:rsid w:val="00C34F30"/>
    <w:rsid w:val="00C363E7"/>
    <w:rsid w:val="00C3640A"/>
    <w:rsid w:val="00C36F96"/>
    <w:rsid w:val="00C3708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1FE"/>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5B8"/>
    <w:rsid w:val="00C61AFD"/>
    <w:rsid w:val="00C62D67"/>
    <w:rsid w:val="00C633BA"/>
    <w:rsid w:val="00C6356B"/>
    <w:rsid w:val="00C652E2"/>
    <w:rsid w:val="00C653FB"/>
    <w:rsid w:val="00C65CBF"/>
    <w:rsid w:val="00C66375"/>
    <w:rsid w:val="00C667D0"/>
    <w:rsid w:val="00C66AD7"/>
    <w:rsid w:val="00C66E3C"/>
    <w:rsid w:val="00C67EA5"/>
    <w:rsid w:val="00C70107"/>
    <w:rsid w:val="00C70E36"/>
    <w:rsid w:val="00C71279"/>
    <w:rsid w:val="00C71351"/>
    <w:rsid w:val="00C71A08"/>
    <w:rsid w:val="00C72625"/>
    <w:rsid w:val="00C7271D"/>
    <w:rsid w:val="00C72B6C"/>
    <w:rsid w:val="00C73FAB"/>
    <w:rsid w:val="00C747DA"/>
    <w:rsid w:val="00C74CF6"/>
    <w:rsid w:val="00C75A01"/>
    <w:rsid w:val="00C75BCA"/>
    <w:rsid w:val="00C75C66"/>
    <w:rsid w:val="00C75DB6"/>
    <w:rsid w:val="00C76E04"/>
    <w:rsid w:val="00C76FB0"/>
    <w:rsid w:val="00C81278"/>
    <w:rsid w:val="00C81A2C"/>
    <w:rsid w:val="00C82647"/>
    <w:rsid w:val="00C8285E"/>
    <w:rsid w:val="00C82F2D"/>
    <w:rsid w:val="00C83260"/>
    <w:rsid w:val="00C836F0"/>
    <w:rsid w:val="00C8398B"/>
    <w:rsid w:val="00C84318"/>
    <w:rsid w:val="00C856BE"/>
    <w:rsid w:val="00C85F2C"/>
    <w:rsid w:val="00C8734C"/>
    <w:rsid w:val="00C87388"/>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D7A"/>
    <w:rsid w:val="00CA41B5"/>
    <w:rsid w:val="00CA47F5"/>
    <w:rsid w:val="00CA4CA2"/>
    <w:rsid w:val="00CA5103"/>
    <w:rsid w:val="00CA5368"/>
    <w:rsid w:val="00CA6310"/>
    <w:rsid w:val="00CA6FE5"/>
    <w:rsid w:val="00CA7B88"/>
    <w:rsid w:val="00CB0113"/>
    <w:rsid w:val="00CB058C"/>
    <w:rsid w:val="00CB0BE4"/>
    <w:rsid w:val="00CB0DD0"/>
    <w:rsid w:val="00CB121D"/>
    <w:rsid w:val="00CB14A4"/>
    <w:rsid w:val="00CB2CCA"/>
    <w:rsid w:val="00CB30D0"/>
    <w:rsid w:val="00CB3502"/>
    <w:rsid w:val="00CB37A5"/>
    <w:rsid w:val="00CB3C01"/>
    <w:rsid w:val="00CB3EBC"/>
    <w:rsid w:val="00CB4100"/>
    <w:rsid w:val="00CB44B7"/>
    <w:rsid w:val="00CB493B"/>
    <w:rsid w:val="00CB4EC9"/>
    <w:rsid w:val="00CB5187"/>
    <w:rsid w:val="00CB5256"/>
    <w:rsid w:val="00CB570A"/>
    <w:rsid w:val="00CB679C"/>
    <w:rsid w:val="00CB6A84"/>
    <w:rsid w:val="00CB6A85"/>
    <w:rsid w:val="00CB7121"/>
    <w:rsid w:val="00CB7364"/>
    <w:rsid w:val="00CB768E"/>
    <w:rsid w:val="00CB795D"/>
    <w:rsid w:val="00CB7B4A"/>
    <w:rsid w:val="00CB7C4A"/>
    <w:rsid w:val="00CB7ECC"/>
    <w:rsid w:val="00CC0B1E"/>
    <w:rsid w:val="00CC0C76"/>
    <w:rsid w:val="00CC1475"/>
    <w:rsid w:val="00CC1DED"/>
    <w:rsid w:val="00CC319E"/>
    <w:rsid w:val="00CC340A"/>
    <w:rsid w:val="00CC36E9"/>
    <w:rsid w:val="00CC597B"/>
    <w:rsid w:val="00CC5AA0"/>
    <w:rsid w:val="00CC669A"/>
    <w:rsid w:val="00CC75B6"/>
    <w:rsid w:val="00CC779B"/>
    <w:rsid w:val="00CD28B2"/>
    <w:rsid w:val="00CD2DD0"/>
    <w:rsid w:val="00CD33EE"/>
    <w:rsid w:val="00CD3776"/>
    <w:rsid w:val="00CD4D65"/>
    <w:rsid w:val="00CD5120"/>
    <w:rsid w:val="00CD55B1"/>
    <w:rsid w:val="00CD5DA2"/>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9A8"/>
    <w:rsid w:val="00CE7BC1"/>
    <w:rsid w:val="00CE7E34"/>
    <w:rsid w:val="00CF0639"/>
    <w:rsid w:val="00CF0AE5"/>
    <w:rsid w:val="00CF12B7"/>
    <w:rsid w:val="00CF14A0"/>
    <w:rsid w:val="00CF19DF"/>
    <w:rsid w:val="00CF1ED5"/>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11"/>
    <w:rsid w:val="00D005B4"/>
    <w:rsid w:val="00D00784"/>
    <w:rsid w:val="00D00BC5"/>
    <w:rsid w:val="00D00D4D"/>
    <w:rsid w:val="00D01549"/>
    <w:rsid w:val="00D019EA"/>
    <w:rsid w:val="00D01AD1"/>
    <w:rsid w:val="00D02277"/>
    <w:rsid w:val="00D022F4"/>
    <w:rsid w:val="00D02BB4"/>
    <w:rsid w:val="00D03128"/>
    <w:rsid w:val="00D033C8"/>
    <w:rsid w:val="00D03B43"/>
    <w:rsid w:val="00D03C14"/>
    <w:rsid w:val="00D046B2"/>
    <w:rsid w:val="00D04B2D"/>
    <w:rsid w:val="00D04C84"/>
    <w:rsid w:val="00D052B0"/>
    <w:rsid w:val="00D053AF"/>
    <w:rsid w:val="00D0545B"/>
    <w:rsid w:val="00D058FD"/>
    <w:rsid w:val="00D05F86"/>
    <w:rsid w:val="00D06433"/>
    <w:rsid w:val="00D070BE"/>
    <w:rsid w:val="00D07169"/>
    <w:rsid w:val="00D07583"/>
    <w:rsid w:val="00D0769F"/>
    <w:rsid w:val="00D07C40"/>
    <w:rsid w:val="00D102A5"/>
    <w:rsid w:val="00D109FA"/>
    <w:rsid w:val="00D10F4D"/>
    <w:rsid w:val="00D10F85"/>
    <w:rsid w:val="00D111EF"/>
    <w:rsid w:val="00D11712"/>
    <w:rsid w:val="00D11EC0"/>
    <w:rsid w:val="00D120D2"/>
    <w:rsid w:val="00D13294"/>
    <w:rsid w:val="00D13A91"/>
    <w:rsid w:val="00D13CB3"/>
    <w:rsid w:val="00D14D12"/>
    <w:rsid w:val="00D171C8"/>
    <w:rsid w:val="00D20137"/>
    <w:rsid w:val="00D208E6"/>
    <w:rsid w:val="00D2190E"/>
    <w:rsid w:val="00D21A55"/>
    <w:rsid w:val="00D22651"/>
    <w:rsid w:val="00D23AD0"/>
    <w:rsid w:val="00D23B0A"/>
    <w:rsid w:val="00D23E23"/>
    <w:rsid w:val="00D24239"/>
    <w:rsid w:val="00D24BAF"/>
    <w:rsid w:val="00D24C26"/>
    <w:rsid w:val="00D255C6"/>
    <w:rsid w:val="00D25F2F"/>
    <w:rsid w:val="00D2620A"/>
    <w:rsid w:val="00D27091"/>
    <w:rsid w:val="00D277EE"/>
    <w:rsid w:val="00D27D59"/>
    <w:rsid w:val="00D309DD"/>
    <w:rsid w:val="00D30C66"/>
    <w:rsid w:val="00D30ECB"/>
    <w:rsid w:val="00D31163"/>
    <w:rsid w:val="00D31D60"/>
    <w:rsid w:val="00D3238A"/>
    <w:rsid w:val="00D3239D"/>
    <w:rsid w:val="00D3330C"/>
    <w:rsid w:val="00D3330E"/>
    <w:rsid w:val="00D3349D"/>
    <w:rsid w:val="00D33682"/>
    <w:rsid w:val="00D34598"/>
    <w:rsid w:val="00D3511A"/>
    <w:rsid w:val="00D35572"/>
    <w:rsid w:val="00D35F28"/>
    <w:rsid w:val="00D36458"/>
    <w:rsid w:val="00D3672A"/>
    <w:rsid w:val="00D368A2"/>
    <w:rsid w:val="00D368FF"/>
    <w:rsid w:val="00D369D2"/>
    <w:rsid w:val="00D36D8E"/>
    <w:rsid w:val="00D374D1"/>
    <w:rsid w:val="00D37596"/>
    <w:rsid w:val="00D37899"/>
    <w:rsid w:val="00D37FCE"/>
    <w:rsid w:val="00D40238"/>
    <w:rsid w:val="00D40D79"/>
    <w:rsid w:val="00D4117C"/>
    <w:rsid w:val="00D41258"/>
    <w:rsid w:val="00D420F0"/>
    <w:rsid w:val="00D43430"/>
    <w:rsid w:val="00D439C3"/>
    <w:rsid w:val="00D449C6"/>
    <w:rsid w:val="00D44A3B"/>
    <w:rsid w:val="00D451A0"/>
    <w:rsid w:val="00D451C2"/>
    <w:rsid w:val="00D45385"/>
    <w:rsid w:val="00D45C34"/>
    <w:rsid w:val="00D4777F"/>
    <w:rsid w:val="00D478D3"/>
    <w:rsid w:val="00D5062B"/>
    <w:rsid w:val="00D50B46"/>
    <w:rsid w:val="00D51867"/>
    <w:rsid w:val="00D519DD"/>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E9D"/>
    <w:rsid w:val="00D65A11"/>
    <w:rsid w:val="00D65B91"/>
    <w:rsid w:val="00D662C7"/>
    <w:rsid w:val="00D6688A"/>
    <w:rsid w:val="00D66CD5"/>
    <w:rsid w:val="00D67145"/>
    <w:rsid w:val="00D7057C"/>
    <w:rsid w:val="00D70FF2"/>
    <w:rsid w:val="00D7160F"/>
    <w:rsid w:val="00D7197E"/>
    <w:rsid w:val="00D726FD"/>
    <w:rsid w:val="00D72C26"/>
    <w:rsid w:val="00D73242"/>
    <w:rsid w:val="00D73288"/>
    <w:rsid w:val="00D73686"/>
    <w:rsid w:val="00D7371E"/>
    <w:rsid w:val="00D741DB"/>
    <w:rsid w:val="00D742A0"/>
    <w:rsid w:val="00D74E88"/>
    <w:rsid w:val="00D75216"/>
    <w:rsid w:val="00D756A7"/>
    <w:rsid w:val="00D75D33"/>
    <w:rsid w:val="00D75E56"/>
    <w:rsid w:val="00D76167"/>
    <w:rsid w:val="00D763AE"/>
    <w:rsid w:val="00D76CD8"/>
    <w:rsid w:val="00D76F2E"/>
    <w:rsid w:val="00D77919"/>
    <w:rsid w:val="00D779D4"/>
    <w:rsid w:val="00D8158C"/>
    <w:rsid w:val="00D8359E"/>
    <w:rsid w:val="00D85096"/>
    <w:rsid w:val="00D857FE"/>
    <w:rsid w:val="00D86F69"/>
    <w:rsid w:val="00D86F82"/>
    <w:rsid w:val="00D86FDB"/>
    <w:rsid w:val="00D87458"/>
    <w:rsid w:val="00D901F7"/>
    <w:rsid w:val="00D90311"/>
    <w:rsid w:val="00D907F2"/>
    <w:rsid w:val="00D913F3"/>
    <w:rsid w:val="00D915FF"/>
    <w:rsid w:val="00D91CC6"/>
    <w:rsid w:val="00D921EE"/>
    <w:rsid w:val="00D92BBF"/>
    <w:rsid w:val="00D933F6"/>
    <w:rsid w:val="00D93F68"/>
    <w:rsid w:val="00D94010"/>
    <w:rsid w:val="00D948C4"/>
    <w:rsid w:val="00D94E85"/>
    <w:rsid w:val="00D962CF"/>
    <w:rsid w:val="00D9652E"/>
    <w:rsid w:val="00D96531"/>
    <w:rsid w:val="00D96E0B"/>
    <w:rsid w:val="00D97CEB"/>
    <w:rsid w:val="00DA0A11"/>
    <w:rsid w:val="00DA0F56"/>
    <w:rsid w:val="00DA13AD"/>
    <w:rsid w:val="00DA26B3"/>
    <w:rsid w:val="00DA2FCF"/>
    <w:rsid w:val="00DA3113"/>
    <w:rsid w:val="00DA3199"/>
    <w:rsid w:val="00DA38EC"/>
    <w:rsid w:val="00DA3AAC"/>
    <w:rsid w:val="00DA3F40"/>
    <w:rsid w:val="00DA435A"/>
    <w:rsid w:val="00DA43EB"/>
    <w:rsid w:val="00DA465F"/>
    <w:rsid w:val="00DA4823"/>
    <w:rsid w:val="00DA4E2E"/>
    <w:rsid w:val="00DA518C"/>
    <w:rsid w:val="00DA5B16"/>
    <w:rsid w:val="00DA654C"/>
    <w:rsid w:val="00DA77DE"/>
    <w:rsid w:val="00DA7C18"/>
    <w:rsid w:val="00DB0A0F"/>
    <w:rsid w:val="00DB2AEF"/>
    <w:rsid w:val="00DB2B51"/>
    <w:rsid w:val="00DB341C"/>
    <w:rsid w:val="00DB4525"/>
    <w:rsid w:val="00DB47A5"/>
    <w:rsid w:val="00DB4D17"/>
    <w:rsid w:val="00DB55E1"/>
    <w:rsid w:val="00DB5EDA"/>
    <w:rsid w:val="00DB7CED"/>
    <w:rsid w:val="00DC09FC"/>
    <w:rsid w:val="00DC102C"/>
    <w:rsid w:val="00DC1EC8"/>
    <w:rsid w:val="00DC2E18"/>
    <w:rsid w:val="00DC2FA0"/>
    <w:rsid w:val="00DC30FE"/>
    <w:rsid w:val="00DC3512"/>
    <w:rsid w:val="00DC385E"/>
    <w:rsid w:val="00DC3EC8"/>
    <w:rsid w:val="00DC4068"/>
    <w:rsid w:val="00DC4145"/>
    <w:rsid w:val="00DC493B"/>
    <w:rsid w:val="00DC759F"/>
    <w:rsid w:val="00DD0B51"/>
    <w:rsid w:val="00DD0BE6"/>
    <w:rsid w:val="00DD1707"/>
    <w:rsid w:val="00DD1C59"/>
    <w:rsid w:val="00DD23B0"/>
    <w:rsid w:val="00DD2FD9"/>
    <w:rsid w:val="00DD3272"/>
    <w:rsid w:val="00DD3467"/>
    <w:rsid w:val="00DD45B5"/>
    <w:rsid w:val="00DD474F"/>
    <w:rsid w:val="00DD4A1A"/>
    <w:rsid w:val="00DD52FC"/>
    <w:rsid w:val="00DD5516"/>
    <w:rsid w:val="00DD5C14"/>
    <w:rsid w:val="00DD5C3A"/>
    <w:rsid w:val="00DD64C8"/>
    <w:rsid w:val="00DD674D"/>
    <w:rsid w:val="00DD701C"/>
    <w:rsid w:val="00DD7DA4"/>
    <w:rsid w:val="00DE017D"/>
    <w:rsid w:val="00DE0CC3"/>
    <w:rsid w:val="00DE0F83"/>
    <w:rsid w:val="00DE2C73"/>
    <w:rsid w:val="00DE3136"/>
    <w:rsid w:val="00DE39F4"/>
    <w:rsid w:val="00DE39F8"/>
    <w:rsid w:val="00DE3A27"/>
    <w:rsid w:val="00DE3A6B"/>
    <w:rsid w:val="00DE3C7D"/>
    <w:rsid w:val="00DE4965"/>
    <w:rsid w:val="00DE4EA8"/>
    <w:rsid w:val="00DE50FD"/>
    <w:rsid w:val="00DE5854"/>
    <w:rsid w:val="00DE587D"/>
    <w:rsid w:val="00DE6805"/>
    <w:rsid w:val="00DE7807"/>
    <w:rsid w:val="00DE7C25"/>
    <w:rsid w:val="00DF0D0A"/>
    <w:rsid w:val="00DF1211"/>
    <w:rsid w:val="00DF1385"/>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FE1"/>
    <w:rsid w:val="00E024B2"/>
    <w:rsid w:val="00E025CC"/>
    <w:rsid w:val="00E02FCC"/>
    <w:rsid w:val="00E03063"/>
    <w:rsid w:val="00E036B3"/>
    <w:rsid w:val="00E03797"/>
    <w:rsid w:val="00E057EA"/>
    <w:rsid w:val="00E05BBB"/>
    <w:rsid w:val="00E06FAA"/>
    <w:rsid w:val="00E07AA2"/>
    <w:rsid w:val="00E1015B"/>
    <w:rsid w:val="00E106AE"/>
    <w:rsid w:val="00E10723"/>
    <w:rsid w:val="00E10E5A"/>
    <w:rsid w:val="00E11A5C"/>
    <w:rsid w:val="00E1223A"/>
    <w:rsid w:val="00E122A9"/>
    <w:rsid w:val="00E12ABE"/>
    <w:rsid w:val="00E1415F"/>
    <w:rsid w:val="00E15683"/>
    <w:rsid w:val="00E1603D"/>
    <w:rsid w:val="00E171AC"/>
    <w:rsid w:val="00E1784D"/>
    <w:rsid w:val="00E20A95"/>
    <w:rsid w:val="00E20E02"/>
    <w:rsid w:val="00E21BD1"/>
    <w:rsid w:val="00E2282E"/>
    <w:rsid w:val="00E2294D"/>
    <w:rsid w:val="00E2297A"/>
    <w:rsid w:val="00E229C1"/>
    <w:rsid w:val="00E22C09"/>
    <w:rsid w:val="00E2339C"/>
    <w:rsid w:val="00E238C8"/>
    <w:rsid w:val="00E239E9"/>
    <w:rsid w:val="00E23FAE"/>
    <w:rsid w:val="00E26416"/>
    <w:rsid w:val="00E2796A"/>
    <w:rsid w:val="00E30003"/>
    <w:rsid w:val="00E30CDC"/>
    <w:rsid w:val="00E31053"/>
    <w:rsid w:val="00E313CE"/>
    <w:rsid w:val="00E31F09"/>
    <w:rsid w:val="00E320DB"/>
    <w:rsid w:val="00E32733"/>
    <w:rsid w:val="00E32DB0"/>
    <w:rsid w:val="00E331D5"/>
    <w:rsid w:val="00E33AB2"/>
    <w:rsid w:val="00E33E69"/>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5076A"/>
    <w:rsid w:val="00E50E1F"/>
    <w:rsid w:val="00E52538"/>
    <w:rsid w:val="00E528AD"/>
    <w:rsid w:val="00E52A22"/>
    <w:rsid w:val="00E53041"/>
    <w:rsid w:val="00E535C2"/>
    <w:rsid w:val="00E53728"/>
    <w:rsid w:val="00E53914"/>
    <w:rsid w:val="00E540D5"/>
    <w:rsid w:val="00E54A4F"/>
    <w:rsid w:val="00E564BC"/>
    <w:rsid w:val="00E5696B"/>
    <w:rsid w:val="00E60221"/>
    <w:rsid w:val="00E6098E"/>
    <w:rsid w:val="00E60A5A"/>
    <w:rsid w:val="00E61389"/>
    <w:rsid w:val="00E61780"/>
    <w:rsid w:val="00E6301A"/>
    <w:rsid w:val="00E649E1"/>
    <w:rsid w:val="00E65663"/>
    <w:rsid w:val="00E661DB"/>
    <w:rsid w:val="00E66781"/>
    <w:rsid w:val="00E66C88"/>
    <w:rsid w:val="00E67BA3"/>
    <w:rsid w:val="00E67D73"/>
    <w:rsid w:val="00E67D7A"/>
    <w:rsid w:val="00E71086"/>
    <w:rsid w:val="00E71B32"/>
    <w:rsid w:val="00E72079"/>
    <w:rsid w:val="00E72E8F"/>
    <w:rsid w:val="00E72F98"/>
    <w:rsid w:val="00E736AA"/>
    <w:rsid w:val="00E7391F"/>
    <w:rsid w:val="00E745BB"/>
    <w:rsid w:val="00E75BEC"/>
    <w:rsid w:val="00E7632F"/>
    <w:rsid w:val="00E767E3"/>
    <w:rsid w:val="00E777A5"/>
    <w:rsid w:val="00E77BF3"/>
    <w:rsid w:val="00E77E32"/>
    <w:rsid w:val="00E800B4"/>
    <w:rsid w:val="00E809C8"/>
    <w:rsid w:val="00E80EE9"/>
    <w:rsid w:val="00E8173D"/>
    <w:rsid w:val="00E81907"/>
    <w:rsid w:val="00E81B11"/>
    <w:rsid w:val="00E825D5"/>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72A2"/>
    <w:rsid w:val="00EA021F"/>
    <w:rsid w:val="00EA0243"/>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A7791"/>
    <w:rsid w:val="00EB051D"/>
    <w:rsid w:val="00EB1072"/>
    <w:rsid w:val="00EB1A14"/>
    <w:rsid w:val="00EB1A97"/>
    <w:rsid w:val="00EB1DDC"/>
    <w:rsid w:val="00EB2610"/>
    <w:rsid w:val="00EB2A87"/>
    <w:rsid w:val="00EB2D92"/>
    <w:rsid w:val="00EB3229"/>
    <w:rsid w:val="00EB341F"/>
    <w:rsid w:val="00EB43C4"/>
    <w:rsid w:val="00EB5C2A"/>
    <w:rsid w:val="00EB686E"/>
    <w:rsid w:val="00EB6974"/>
    <w:rsid w:val="00EB6D6E"/>
    <w:rsid w:val="00EB7570"/>
    <w:rsid w:val="00EB76BD"/>
    <w:rsid w:val="00EC05A9"/>
    <w:rsid w:val="00EC07EF"/>
    <w:rsid w:val="00EC2103"/>
    <w:rsid w:val="00EC27C8"/>
    <w:rsid w:val="00EC2BE5"/>
    <w:rsid w:val="00EC2CCA"/>
    <w:rsid w:val="00EC2E57"/>
    <w:rsid w:val="00EC2E71"/>
    <w:rsid w:val="00EC4BC3"/>
    <w:rsid w:val="00EC4D53"/>
    <w:rsid w:val="00EC5347"/>
    <w:rsid w:val="00EC5FAC"/>
    <w:rsid w:val="00EC6B91"/>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A91"/>
    <w:rsid w:val="00ED6C71"/>
    <w:rsid w:val="00ED71AE"/>
    <w:rsid w:val="00ED73A4"/>
    <w:rsid w:val="00ED7D8F"/>
    <w:rsid w:val="00EE1A53"/>
    <w:rsid w:val="00EE1BEE"/>
    <w:rsid w:val="00EE22A7"/>
    <w:rsid w:val="00EE3627"/>
    <w:rsid w:val="00EE4D2B"/>
    <w:rsid w:val="00EE559E"/>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793"/>
    <w:rsid w:val="00EF3BE1"/>
    <w:rsid w:val="00EF41A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62F5"/>
    <w:rsid w:val="00F07A6D"/>
    <w:rsid w:val="00F1097C"/>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404C"/>
    <w:rsid w:val="00F2429E"/>
    <w:rsid w:val="00F25371"/>
    <w:rsid w:val="00F25545"/>
    <w:rsid w:val="00F26340"/>
    <w:rsid w:val="00F265B9"/>
    <w:rsid w:val="00F266AA"/>
    <w:rsid w:val="00F2685A"/>
    <w:rsid w:val="00F2701E"/>
    <w:rsid w:val="00F27557"/>
    <w:rsid w:val="00F27661"/>
    <w:rsid w:val="00F27FFD"/>
    <w:rsid w:val="00F3079C"/>
    <w:rsid w:val="00F3223F"/>
    <w:rsid w:val="00F3267F"/>
    <w:rsid w:val="00F33779"/>
    <w:rsid w:val="00F33B9C"/>
    <w:rsid w:val="00F340F6"/>
    <w:rsid w:val="00F34129"/>
    <w:rsid w:val="00F3424C"/>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4601"/>
    <w:rsid w:val="00F453B6"/>
    <w:rsid w:val="00F4568C"/>
    <w:rsid w:val="00F45854"/>
    <w:rsid w:val="00F45D0C"/>
    <w:rsid w:val="00F468F2"/>
    <w:rsid w:val="00F4697F"/>
    <w:rsid w:val="00F46B56"/>
    <w:rsid w:val="00F46D54"/>
    <w:rsid w:val="00F50DC4"/>
    <w:rsid w:val="00F52363"/>
    <w:rsid w:val="00F524C0"/>
    <w:rsid w:val="00F52A72"/>
    <w:rsid w:val="00F53548"/>
    <w:rsid w:val="00F548BE"/>
    <w:rsid w:val="00F5528F"/>
    <w:rsid w:val="00F567D9"/>
    <w:rsid w:val="00F568B3"/>
    <w:rsid w:val="00F568CD"/>
    <w:rsid w:val="00F569C2"/>
    <w:rsid w:val="00F56AE4"/>
    <w:rsid w:val="00F57527"/>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2FC"/>
    <w:rsid w:val="00F81687"/>
    <w:rsid w:val="00F81CE3"/>
    <w:rsid w:val="00F81D23"/>
    <w:rsid w:val="00F82060"/>
    <w:rsid w:val="00F820BF"/>
    <w:rsid w:val="00F82B2A"/>
    <w:rsid w:val="00F83B27"/>
    <w:rsid w:val="00F83E60"/>
    <w:rsid w:val="00F83FD9"/>
    <w:rsid w:val="00F84289"/>
    <w:rsid w:val="00F84293"/>
    <w:rsid w:val="00F857D6"/>
    <w:rsid w:val="00F87193"/>
    <w:rsid w:val="00F8722D"/>
    <w:rsid w:val="00F8768E"/>
    <w:rsid w:val="00F87F99"/>
    <w:rsid w:val="00F87FCA"/>
    <w:rsid w:val="00F902E6"/>
    <w:rsid w:val="00F9196A"/>
    <w:rsid w:val="00F92621"/>
    <w:rsid w:val="00F92790"/>
    <w:rsid w:val="00F92920"/>
    <w:rsid w:val="00F92ACA"/>
    <w:rsid w:val="00F92E7C"/>
    <w:rsid w:val="00F92EAB"/>
    <w:rsid w:val="00F93083"/>
    <w:rsid w:val="00F930D9"/>
    <w:rsid w:val="00F93EEE"/>
    <w:rsid w:val="00F93FDA"/>
    <w:rsid w:val="00F954CA"/>
    <w:rsid w:val="00F96280"/>
    <w:rsid w:val="00F96E84"/>
    <w:rsid w:val="00F97914"/>
    <w:rsid w:val="00FA01D4"/>
    <w:rsid w:val="00FA084F"/>
    <w:rsid w:val="00FA2BD7"/>
    <w:rsid w:val="00FA30F5"/>
    <w:rsid w:val="00FA3BAD"/>
    <w:rsid w:val="00FA3F06"/>
    <w:rsid w:val="00FA416A"/>
    <w:rsid w:val="00FA4744"/>
    <w:rsid w:val="00FA4872"/>
    <w:rsid w:val="00FA4B78"/>
    <w:rsid w:val="00FA62E0"/>
    <w:rsid w:val="00FA63D3"/>
    <w:rsid w:val="00FA6741"/>
    <w:rsid w:val="00FA6DE6"/>
    <w:rsid w:val="00FA6F37"/>
    <w:rsid w:val="00FA6FA7"/>
    <w:rsid w:val="00FB0862"/>
    <w:rsid w:val="00FB119A"/>
    <w:rsid w:val="00FB1431"/>
    <w:rsid w:val="00FB181F"/>
    <w:rsid w:val="00FB1918"/>
    <w:rsid w:val="00FB1AE8"/>
    <w:rsid w:val="00FB1D7A"/>
    <w:rsid w:val="00FB24C0"/>
    <w:rsid w:val="00FB286E"/>
    <w:rsid w:val="00FB2A18"/>
    <w:rsid w:val="00FB3F9C"/>
    <w:rsid w:val="00FB4206"/>
    <w:rsid w:val="00FB4D9A"/>
    <w:rsid w:val="00FB526E"/>
    <w:rsid w:val="00FB5CF6"/>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314B"/>
    <w:rsid w:val="00FC39CA"/>
    <w:rsid w:val="00FC3AE8"/>
    <w:rsid w:val="00FC3C18"/>
    <w:rsid w:val="00FC4A41"/>
    <w:rsid w:val="00FC5E6F"/>
    <w:rsid w:val="00FC7615"/>
    <w:rsid w:val="00FC7785"/>
    <w:rsid w:val="00FC7F4D"/>
    <w:rsid w:val="00FD058E"/>
    <w:rsid w:val="00FD05BC"/>
    <w:rsid w:val="00FD0E60"/>
    <w:rsid w:val="00FD2102"/>
    <w:rsid w:val="00FD2718"/>
    <w:rsid w:val="00FD3889"/>
    <w:rsid w:val="00FD45D6"/>
    <w:rsid w:val="00FD465C"/>
    <w:rsid w:val="00FD4D73"/>
    <w:rsid w:val="00FD562A"/>
    <w:rsid w:val="00FD6411"/>
    <w:rsid w:val="00FD64EF"/>
    <w:rsid w:val="00FD7771"/>
    <w:rsid w:val="00FE0294"/>
    <w:rsid w:val="00FE14D4"/>
    <w:rsid w:val="00FE18B4"/>
    <w:rsid w:val="00FE2267"/>
    <w:rsid w:val="00FE2F0E"/>
    <w:rsid w:val="00FE2F48"/>
    <w:rsid w:val="00FE357B"/>
    <w:rsid w:val="00FE37C2"/>
    <w:rsid w:val="00FE4F46"/>
    <w:rsid w:val="00FE5276"/>
    <w:rsid w:val="00FE563B"/>
    <w:rsid w:val="00FE5DA3"/>
    <w:rsid w:val="00FE66FB"/>
    <w:rsid w:val="00FE6997"/>
    <w:rsid w:val="00FE6FAA"/>
    <w:rsid w:val="00FE7053"/>
    <w:rsid w:val="00FE7884"/>
    <w:rsid w:val="00FE7D12"/>
    <w:rsid w:val="00FF3DBD"/>
    <w:rsid w:val="00FF4204"/>
    <w:rsid w:val="00FF4314"/>
    <w:rsid w:val="00FF456E"/>
    <w:rsid w:val="00FF4A19"/>
    <w:rsid w:val="00FF4CE2"/>
    <w:rsid w:val="00FF520E"/>
    <w:rsid w:val="00FF70F3"/>
    <w:rsid w:val="00FF7533"/>
    <w:rsid w:val="00FF7BA6"/>
    <w:rsid w:val="00FF7C38"/>
    <w:rsid w:val="0100390C"/>
    <w:rsid w:val="017038AC"/>
    <w:rsid w:val="01F0299B"/>
    <w:rsid w:val="025E3A05"/>
    <w:rsid w:val="026E4F91"/>
    <w:rsid w:val="03457CFC"/>
    <w:rsid w:val="041D095D"/>
    <w:rsid w:val="042F3FE2"/>
    <w:rsid w:val="045B568D"/>
    <w:rsid w:val="04796C3F"/>
    <w:rsid w:val="04EB3966"/>
    <w:rsid w:val="05C87DB9"/>
    <w:rsid w:val="062E247A"/>
    <w:rsid w:val="069778EF"/>
    <w:rsid w:val="08491669"/>
    <w:rsid w:val="08791890"/>
    <w:rsid w:val="0884680A"/>
    <w:rsid w:val="093275AF"/>
    <w:rsid w:val="0961739E"/>
    <w:rsid w:val="09895CFD"/>
    <w:rsid w:val="098C57BC"/>
    <w:rsid w:val="098E6083"/>
    <w:rsid w:val="09D63EE3"/>
    <w:rsid w:val="0B205B2B"/>
    <w:rsid w:val="0B6C0798"/>
    <w:rsid w:val="0B782559"/>
    <w:rsid w:val="0BB571A8"/>
    <w:rsid w:val="0D566BC9"/>
    <w:rsid w:val="0E180322"/>
    <w:rsid w:val="0E5E72AC"/>
    <w:rsid w:val="0E8C4995"/>
    <w:rsid w:val="0EA10018"/>
    <w:rsid w:val="0EF27BFB"/>
    <w:rsid w:val="0F051912"/>
    <w:rsid w:val="0F1D4C55"/>
    <w:rsid w:val="0FBC50EF"/>
    <w:rsid w:val="10305534"/>
    <w:rsid w:val="10596B94"/>
    <w:rsid w:val="115F3FD7"/>
    <w:rsid w:val="11A259DD"/>
    <w:rsid w:val="120474A0"/>
    <w:rsid w:val="13026D54"/>
    <w:rsid w:val="13102ABE"/>
    <w:rsid w:val="13CE5AEB"/>
    <w:rsid w:val="14B6767D"/>
    <w:rsid w:val="15354544"/>
    <w:rsid w:val="15BB209F"/>
    <w:rsid w:val="15CD660D"/>
    <w:rsid w:val="163868AA"/>
    <w:rsid w:val="167D280D"/>
    <w:rsid w:val="16872DB8"/>
    <w:rsid w:val="17047766"/>
    <w:rsid w:val="17935895"/>
    <w:rsid w:val="17BF335E"/>
    <w:rsid w:val="17F52C18"/>
    <w:rsid w:val="181932FF"/>
    <w:rsid w:val="184530EF"/>
    <w:rsid w:val="18CA6ADA"/>
    <w:rsid w:val="18DE3F6E"/>
    <w:rsid w:val="19095460"/>
    <w:rsid w:val="190C20D4"/>
    <w:rsid w:val="19120228"/>
    <w:rsid w:val="19227A4B"/>
    <w:rsid w:val="195E6A52"/>
    <w:rsid w:val="19AE28FD"/>
    <w:rsid w:val="19C347B4"/>
    <w:rsid w:val="19F74B52"/>
    <w:rsid w:val="1B3E182A"/>
    <w:rsid w:val="1B4B5195"/>
    <w:rsid w:val="1B714B7E"/>
    <w:rsid w:val="1B79267B"/>
    <w:rsid w:val="1C174C6F"/>
    <w:rsid w:val="1C1F2F3D"/>
    <w:rsid w:val="1C7503FD"/>
    <w:rsid w:val="1C7C020D"/>
    <w:rsid w:val="1C8F78BA"/>
    <w:rsid w:val="1C9B0D84"/>
    <w:rsid w:val="1C9F1DD3"/>
    <w:rsid w:val="1CDD3F3B"/>
    <w:rsid w:val="1D316F30"/>
    <w:rsid w:val="1D4438C0"/>
    <w:rsid w:val="1D4D6869"/>
    <w:rsid w:val="1E4B3EB1"/>
    <w:rsid w:val="1F9B4363"/>
    <w:rsid w:val="1FE7656E"/>
    <w:rsid w:val="20602E5A"/>
    <w:rsid w:val="207277FE"/>
    <w:rsid w:val="20A200E4"/>
    <w:rsid w:val="20CA352C"/>
    <w:rsid w:val="21760101"/>
    <w:rsid w:val="21A9347A"/>
    <w:rsid w:val="21BD50D8"/>
    <w:rsid w:val="22274DDA"/>
    <w:rsid w:val="222C5B8B"/>
    <w:rsid w:val="22B25284"/>
    <w:rsid w:val="22C07D9F"/>
    <w:rsid w:val="23056CBA"/>
    <w:rsid w:val="234200E7"/>
    <w:rsid w:val="234C1E42"/>
    <w:rsid w:val="23C6059E"/>
    <w:rsid w:val="23C95079"/>
    <w:rsid w:val="24031A53"/>
    <w:rsid w:val="24307C26"/>
    <w:rsid w:val="24687AF0"/>
    <w:rsid w:val="248E5D4C"/>
    <w:rsid w:val="24C47897"/>
    <w:rsid w:val="24E337F8"/>
    <w:rsid w:val="258D3B57"/>
    <w:rsid w:val="25C80F56"/>
    <w:rsid w:val="262336EE"/>
    <w:rsid w:val="269E4C0C"/>
    <w:rsid w:val="26BD5EFD"/>
    <w:rsid w:val="26D04B5C"/>
    <w:rsid w:val="27024D1A"/>
    <w:rsid w:val="276F56BE"/>
    <w:rsid w:val="28776650"/>
    <w:rsid w:val="2A1E2702"/>
    <w:rsid w:val="2AD85037"/>
    <w:rsid w:val="2B2E3D88"/>
    <w:rsid w:val="2BD0253B"/>
    <w:rsid w:val="2BD55811"/>
    <w:rsid w:val="2C24070E"/>
    <w:rsid w:val="2C444480"/>
    <w:rsid w:val="2C564DC3"/>
    <w:rsid w:val="2CE20DB7"/>
    <w:rsid w:val="2D6C141D"/>
    <w:rsid w:val="2E503607"/>
    <w:rsid w:val="2EB64B4B"/>
    <w:rsid w:val="2EDB590A"/>
    <w:rsid w:val="2EF85E85"/>
    <w:rsid w:val="2F0A29E3"/>
    <w:rsid w:val="2F3F31A7"/>
    <w:rsid w:val="2FA82594"/>
    <w:rsid w:val="2FC36AFB"/>
    <w:rsid w:val="30136A61"/>
    <w:rsid w:val="303134C3"/>
    <w:rsid w:val="30817D6A"/>
    <w:rsid w:val="3157114E"/>
    <w:rsid w:val="3198116C"/>
    <w:rsid w:val="31F2037F"/>
    <w:rsid w:val="32252031"/>
    <w:rsid w:val="329B11F6"/>
    <w:rsid w:val="3358033B"/>
    <w:rsid w:val="336E087E"/>
    <w:rsid w:val="33993F4A"/>
    <w:rsid w:val="33C3087D"/>
    <w:rsid w:val="33ED2723"/>
    <w:rsid w:val="34A0434F"/>
    <w:rsid w:val="35961B12"/>
    <w:rsid w:val="364523AD"/>
    <w:rsid w:val="36700D38"/>
    <w:rsid w:val="36953DB9"/>
    <w:rsid w:val="36C4673D"/>
    <w:rsid w:val="37B10B63"/>
    <w:rsid w:val="37D17C49"/>
    <w:rsid w:val="37D8637B"/>
    <w:rsid w:val="383141CC"/>
    <w:rsid w:val="390721D7"/>
    <w:rsid w:val="393B510C"/>
    <w:rsid w:val="393F4767"/>
    <w:rsid w:val="39A97E97"/>
    <w:rsid w:val="3A260C29"/>
    <w:rsid w:val="3B57268D"/>
    <w:rsid w:val="3B6176CE"/>
    <w:rsid w:val="3BF9504C"/>
    <w:rsid w:val="3C110388"/>
    <w:rsid w:val="3C2C2AD8"/>
    <w:rsid w:val="3CEF4BF4"/>
    <w:rsid w:val="3CF11603"/>
    <w:rsid w:val="3D7507FB"/>
    <w:rsid w:val="3EB5127A"/>
    <w:rsid w:val="3F503E5E"/>
    <w:rsid w:val="3F51605E"/>
    <w:rsid w:val="3FA64D1C"/>
    <w:rsid w:val="3FC16214"/>
    <w:rsid w:val="41576FF8"/>
    <w:rsid w:val="41D9164E"/>
    <w:rsid w:val="41DD521D"/>
    <w:rsid w:val="423B7022"/>
    <w:rsid w:val="43395DA8"/>
    <w:rsid w:val="4389060E"/>
    <w:rsid w:val="43C8028A"/>
    <w:rsid w:val="43D51667"/>
    <w:rsid w:val="443B2C25"/>
    <w:rsid w:val="448421F1"/>
    <w:rsid w:val="456C495C"/>
    <w:rsid w:val="45D37D9B"/>
    <w:rsid w:val="45EF3DC4"/>
    <w:rsid w:val="464B6267"/>
    <w:rsid w:val="47AB5220"/>
    <w:rsid w:val="48121ACC"/>
    <w:rsid w:val="48194FD5"/>
    <w:rsid w:val="48274654"/>
    <w:rsid w:val="484514CB"/>
    <w:rsid w:val="486A6196"/>
    <w:rsid w:val="488B2DCB"/>
    <w:rsid w:val="48B13EEC"/>
    <w:rsid w:val="48C86EE1"/>
    <w:rsid w:val="4933195C"/>
    <w:rsid w:val="49925D85"/>
    <w:rsid w:val="49FA6EF8"/>
    <w:rsid w:val="4A036093"/>
    <w:rsid w:val="4A493BE6"/>
    <w:rsid w:val="4A784961"/>
    <w:rsid w:val="4AA448D5"/>
    <w:rsid w:val="4ACF3A3C"/>
    <w:rsid w:val="4AF173EE"/>
    <w:rsid w:val="4B1700DF"/>
    <w:rsid w:val="4B2A485D"/>
    <w:rsid w:val="4B2F1E6C"/>
    <w:rsid w:val="4BC2021B"/>
    <w:rsid w:val="4BE07B8E"/>
    <w:rsid w:val="4DA83E85"/>
    <w:rsid w:val="4DDA2DDB"/>
    <w:rsid w:val="4DEF1B90"/>
    <w:rsid w:val="4ED64A75"/>
    <w:rsid w:val="4F0F6A19"/>
    <w:rsid w:val="4F553DD3"/>
    <w:rsid w:val="51344359"/>
    <w:rsid w:val="51D10A66"/>
    <w:rsid w:val="528911DD"/>
    <w:rsid w:val="528A390F"/>
    <w:rsid w:val="528C6991"/>
    <w:rsid w:val="53685179"/>
    <w:rsid w:val="53CB2ED2"/>
    <w:rsid w:val="54054633"/>
    <w:rsid w:val="540605E4"/>
    <w:rsid w:val="54467731"/>
    <w:rsid w:val="545C6467"/>
    <w:rsid w:val="547F0032"/>
    <w:rsid w:val="54A02A20"/>
    <w:rsid w:val="54C673AD"/>
    <w:rsid w:val="55C27239"/>
    <w:rsid w:val="55C87B3E"/>
    <w:rsid w:val="560D2CF3"/>
    <w:rsid w:val="565C7C39"/>
    <w:rsid w:val="56761164"/>
    <w:rsid w:val="571F0900"/>
    <w:rsid w:val="57EF62EE"/>
    <w:rsid w:val="58D31010"/>
    <w:rsid w:val="58D67D8C"/>
    <w:rsid w:val="58E10577"/>
    <w:rsid w:val="59165EF7"/>
    <w:rsid w:val="5962291D"/>
    <w:rsid w:val="59702A12"/>
    <w:rsid w:val="59936167"/>
    <w:rsid w:val="5A020A23"/>
    <w:rsid w:val="5AED2A9C"/>
    <w:rsid w:val="5B497ED8"/>
    <w:rsid w:val="5BC746C9"/>
    <w:rsid w:val="5CC61F72"/>
    <w:rsid w:val="5CF206F7"/>
    <w:rsid w:val="5D7C3BB1"/>
    <w:rsid w:val="5D94028A"/>
    <w:rsid w:val="5E6C7FBA"/>
    <w:rsid w:val="5E7D74BF"/>
    <w:rsid w:val="5EA0340D"/>
    <w:rsid w:val="5ED66C3C"/>
    <w:rsid w:val="5FDD643B"/>
    <w:rsid w:val="600435FC"/>
    <w:rsid w:val="60607F56"/>
    <w:rsid w:val="60BA3E42"/>
    <w:rsid w:val="6126447D"/>
    <w:rsid w:val="615C01D5"/>
    <w:rsid w:val="6194383B"/>
    <w:rsid w:val="61A14A39"/>
    <w:rsid w:val="61BB625B"/>
    <w:rsid w:val="61CB5375"/>
    <w:rsid w:val="623348CA"/>
    <w:rsid w:val="62A67D10"/>
    <w:rsid w:val="63336C43"/>
    <w:rsid w:val="64262FF7"/>
    <w:rsid w:val="64B961BC"/>
    <w:rsid w:val="65CA685B"/>
    <w:rsid w:val="65CF34A7"/>
    <w:rsid w:val="65F20792"/>
    <w:rsid w:val="65F660EF"/>
    <w:rsid w:val="6673798C"/>
    <w:rsid w:val="673905B6"/>
    <w:rsid w:val="674F1E79"/>
    <w:rsid w:val="676E00FF"/>
    <w:rsid w:val="681C3942"/>
    <w:rsid w:val="68460AAC"/>
    <w:rsid w:val="68AC1CFE"/>
    <w:rsid w:val="68B55243"/>
    <w:rsid w:val="69E571B0"/>
    <w:rsid w:val="6A2E69DD"/>
    <w:rsid w:val="6A3B0908"/>
    <w:rsid w:val="6AE21764"/>
    <w:rsid w:val="6BCD1DE6"/>
    <w:rsid w:val="6BD05EB2"/>
    <w:rsid w:val="6C505023"/>
    <w:rsid w:val="6D14299F"/>
    <w:rsid w:val="6D2232F1"/>
    <w:rsid w:val="6D4F07BF"/>
    <w:rsid w:val="6D672A1E"/>
    <w:rsid w:val="6DC237D1"/>
    <w:rsid w:val="6DC87723"/>
    <w:rsid w:val="6E5A4A4C"/>
    <w:rsid w:val="6EF773B9"/>
    <w:rsid w:val="6F257D2F"/>
    <w:rsid w:val="6F40725E"/>
    <w:rsid w:val="70481448"/>
    <w:rsid w:val="70555698"/>
    <w:rsid w:val="711172CF"/>
    <w:rsid w:val="714C06E6"/>
    <w:rsid w:val="71AD3FCF"/>
    <w:rsid w:val="71B132B0"/>
    <w:rsid w:val="71FD54DD"/>
    <w:rsid w:val="7410294D"/>
    <w:rsid w:val="74D62693"/>
    <w:rsid w:val="760B095F"/>
    <w:rsid w:val="763B1755"/>
    <w:rsid w:val="76D71644"/>
    <w:rsid w:val="7762008B"/>
    <w:rsid w:val="776C2FB6"/>
    <w:rsid w:val="79982284"/>
    <w:rsid w:val="7998662D"/>
    <w:rsid w:val="7A8C5878"/>
    <w:rsid w:val="7B471854"/>
    <w:rsid w:val="7B570143"/>
    <w:rsid w:val="7C26615C"/>
    <w:rsid w:val="7C552333"/>
    <w:rsid w:val="7C60026A"/>
    <w:rsid w:val="7CA86C55"/>
    <w:rsid w:val="7CEE5F7C"/>
    <w:rsid w:val="7CF019C1"/>
    <w:rsid w:val="7D461CAD"/>
    <w:rsid w:val="7DCA2F58"/>
    <w:rsid w:val="7DE94FAB"/>
    <w:rsid w:val="7E28286A"/>
    <w:rsid w:val="7E4515FE"/>
    <w:rsid w:val="7EAD59B2"/>
    <w:rsid w:val="7F557A74"/>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60"/>
    <w:qFormat/>
    <w:uiPriority w:val="0"/>
    <w:pPr>
      <w:spacing w:before="460" w:after="450" w:line="360" w:lineRule="auto"/>
      <w:jc w:val="center"/>
      <w:outlineLvl w:val="0"/>
    </w:pPr>
    <w:rPr>
      <w:rFonts w:eastAsiaTheme="minorEastAsia"/>
      <w:bCs w:val="0"/>
      <w:kern w:val="44"/>
      <w:sz w:val="44"/>
      <w:szCs w:val="28"/>
    </w:rPr>
  </w:style>
  <w:style w:type="paragraph" w:styleId="4">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3">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5">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4"/>
    <w:qFormat/>
    <w:uiPriority w:val="0"/>
    <w:pPr>
      <w:keepNext/>
      <w:keepLines/>
      <w:numPr>
        <w:ilvl w:val="4"/>
        <w:numId w:val="1"/>
      </w:numPr>
      <w:tabs>
        <w:tab w:val="left" w:pos="371"/>
      </w:tabs>
      <w:spacing w:before="280" w:after="290" w:line="374" w:lineRule="auto"/>
      <w:outlineLvl w:val="4"/>
    </w:pPr>
    <w:rPr>
      <w:b/>
      <w:sz w:val="28"/>
    </w:rPr>
  </w:style>
  <w:style w:type="paragraph" w:styleId="8">
    <w:name w:val="heading 6"/>
    <w:basedOn w:val="1"/>
    <w:next w:val="7"/>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9">
    <w:name w:val="heading 7"/>
    <w:basedOn w:val="1"/>
    <w:next w:val="7"/>
    <w:link w:val="66"/>
    <w:qFormat/>
    <w:uiPriority w:val="9"/>
    <w:pPr>
      <w:keepNext/>
      <w:keepLines/>
      <w:numPr>
        <w:ilvl w:val="6"/>
        <w:numId w:val="1"/>
      </w:numPr>
      <w:spacing w:before="240" w:after="64" w:line="319" w:lineRule="auto"/>
      <w:outlineLvl w:val="6"/>
    </w:pPr>
    <w:rPr>
      <w:b/>
      <w:sz w:val="24"/>
    </w:rPr>
  </w:style>
  <w:style w:type="paragraph" w:styleId="10">
    <w:name w:val="heading 8"/>
    <w:basedOn w:val="1"/>
    <w:next w:val="7"/>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1">
    <w:name w:val="heading 9"/>
    <w:basedOn w:val="1"/>
    <w:next w:val="7"/>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63"/>
    <w:qFormat/>
    <w:uiPriority w:val="0"/>
    <w:pPr>
      <w:ind w:firstLine="420" w:firstLineChars="200"/>
    </w:pPr>
  </w:style>
  <w:style w:type="paragraph" w:styleId="12">
    <w:name w:val="toc 7"/>
    <w:basedOn w:val="1"/>
    <w:next w:val="1"/>
    <w:qFormat/>
    <w:uiPriority w:val="0"/>
    <w:pPr>
      <w:ind w:left="1260"/>
      <w:jc w:val="left"/>
    </w:pPr>
    <w:rPr>
      <w:szCs w:val="21"/>
    </w:rPr>
  </w:style>
  <w:style w:type="paragraph" w:styleId="13">
    <w:name w:val="List Number 2"/>
    <w:basedOn w:val="1"/>
    <w:qFormat/>
    <w:uiPriority w:val="0"/>
    <w:pPr>
      <w:tabs>
        <w:tab w:val="left" w:pos="780"/>
      </w:tabs>
      <w:ind w:left="780" w:hanging="360"/>
    </w:pPr>
    <w:rPr>
      <w:szCs w:val="20"/>
    </w:rPr>
  </w:style>
  <w:style w:type="paragraph" w:styleId="14">
    <w:name w:val="List Bullet 4"/>
    <w:basedOn w:val="1"/>
    <w:qFormat/>
    <w:uiPriority w:val="0"/>
    <w:pPr>
      <w:tabs>
        <w:tab w:val="left" w:pos="425"/>
        <w:tab w:val="left" w:pos="1620"/>
      </w:tabs>
      <w:ind w:left="425" w:hanging="425"/>
    </w:pPr>
    <w:rPr>
      <w:szCs w:val="20"/>
    </w:rPr>
  </w:style>
  <w:style w:type="paragraph" w:styleId="15">
    <w:name w:val="caption"/>
    <w:basedOn w:val="1"/>
    <w:next w:val="1"/>
    <w:link w:val="297"/>
    <w:qFormat/>
    <w:uiPriority w:val="0"/>
    <w:rPr>
      <w:rFonts w:ascii="Cambria" w:hAnsi="Cambria" w:eastAsia="黑体"/>
    </w:rPr>
  </w:style>
  <w:style w:type="paragraph" w:styleId="16">
    <w:name w:val="List Bullet"/>
    <w:basedOn w:val="1"/>
    <w:qFormat/>
    <w:uiPriority w:val="0"/>
    <w:pPr>
      <w:numPr>
        <w:ilvl w:val="0"/>
        <w:numId w:val="1"/>
      </w:numPr>
      <w:tabs>
        <w:tab w:val="left" w:pos="360"/>
        <w:tab w:val="clear" w:pos="371"/>
      </w:tabs>
    </w:pPr>
    <w:rPr>
      <w:szCs w:val="20"/>
    </w:rPr>
  </w:style>
  <w:style w:type="paragraph" w:styleId="17">
    <w:name w:val="Document Map"/>
    <w:basedOn w:val="1"/>
    <w:link w:val="73"/>
    <w:qFormat/>
    <w:uiPriority w:val="0"/>
    <w:pPr>
      <w:shd w:val="clear" w:color="auto" w:fill="000080"/>
    </w:pPr>
  </w:style>
  <w:style w:type="paragraph" w:styleId="18">
    <w:name w:val="annotation text"/>
    <w:basedOn w:val="1"/>
    <w:link w:val="69"/>
    <w:qFormat/>
    <w:uiPriority w:val="0"/>
    <w:pPr>
      <w:jc w:val="left"/>
    </w:pPr>
  </w:style>
  <w:style w:type="paragraph" w:styleId="19">
    <w:name w:val="Body Text 3"/>
    <w:basedOn w:val="1"/>
    <w:link w:val="458"/>
    <w:unhideWhenUsed/>
    <w:qFormat/>
    <w:uiPriority w:val="0"/>
    <w:pPr>
      <w:spacing w:after="120"/>
    </w:pPr>
    <w:rPr>
      <w:sz w:val="16"/>
      <w:szCs w:val="16"/>
    </w:rPr>
  </w:style>
  <w:style w:type="paragraph" w:styleId="20">
    <w:name w:val="Body Text"/>
    <w:basedOn w:val="1"/>
    <w:link w:val="71"/>
    <w:qFormat/>
    <w:uiPriority w:val="0"/>
    <w:pPr>
      <w:spacing w:after="120"/>
    </w:pPr>
  </w:style>
  <w:style w:type="paragraph" w:styleId="21">
    <w:name w:val="Body Text Indent"/>
    <w:basedOn w:val="1"/>
    <w:link w:val="74"/>
    <w:qFormat/>
    <w:uiPriority w:val="0"/>
    <w:pPr>
      <w:spacing w:after="120"/>
      <w:ind w:left="420" w:leftChars="200"/>
    </w:pPr>
  </w:style>
  <w:style w:type="paragraph" w:styleId="22">
    <w:name w:val="Block Text"/>
    <w:basedOn w:val="1"/>
    <w:qFormat/>
    <w:uiPriority w:val="0"/>
    <w:pPr>
      <w:spacing w:after="120"/>
      <w:ind w:left="1440" w:leftChars="700" w:right="1440" w:rightChars="700"/>
    </w:pPr>
  </w:style>
  <w:style w:type="paragraph" w:styleId="23">
    <w:name w:val="List Bullet 2"/>
    <w:basedOn w:val="1"/>
    <w:qFormat/>
    <w:uiPriority w:val="0"/>
    <w:pPr>
      <w:numPr>
        <w:ilvl w:val="0"/>
        <w:numId w:val="2"/>
      </w:numPr>
      <w:tabs>
        <w:tab w:val="left" w:pos="780"/>
      </w:tabs>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ind w:left="420"/>
      <w:jc w:val="left"/>
    </w:pPr>
    <w:rPr>
      <w:iCs/>
    </w:rPr>
  </w:style>
  <w:style w:type="paragraph" w:styleId="26">
    <w:name w:val="Plain Text"/>
    <w:basedOn w:val="1"/>
    <w:link w:val="75"/>
    <w:qFormat/>
    <w:uiPriority w:val="0"/>
    <w:rPr>
      <w:rFonts w:ascii="宋体" w:hAnsi="Courier New"/>
      <w:szCs w:val="20"/>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63"/>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99"/>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8"/>
    <w:next w:val="18"/>
    <w:link w:val="70"/>
    <w:qFormat/>
    <w:uiPriority w:val="0"/>
    <w:rPr>
      <w:b/>
      <w:bCs/>
    </w:rPr>
  </w:style>
  <w:style w:type="paragraph" w:styleId="48">
    <w:name w:val="Body Text First Indent"/>
    <w:basedOn w:val="20"/>
    <w:link w:val="72"/>
    <w:qFormat/>
    <w:uiPriority w:val="0"/>
    <w:pPr>
      <w:ind w:firstLine="420" w:firstLineChars="100"/>
    </w:pPr>
  </w:style>
  <w:style w:type="paragraph" w:styleId="49">
    <w:name w:val="Body Text First Indent 2"/>
    <w:basedOn w:val="21"/>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0"/>
    <w:rPr>
      <w:sz w:val="21"/>
      <w:szCs w:val="21"/>
    </w:rPr>
  </w:style>
  <w:style w:type="character" w:customStyle="1" w:styleId="59">
    <w:name w:val="标题 3 Char"/>
    <w:basedOn w:val="52"/>
    <w:link w:val="3"/>
    <w:qFormat/>
    <w:uiPriority w:val="0"/>
    <w:rPr>
      <w:b/>
      <w:bCs/>
      <w:kern w:val="2"/>
      <w:sz w:val="24"/>
      <w:szCs w:val="32"/>
    </w:rPr>
  </w:style>
  <w:style w:type="character" w:customStyle="1" w:styleId="60">
    <w:name w:val="标题 1 Char"/>
    <w:basedOn w:val="52"/>
    <w:link w:val="2"/>
    <w:qFormat/>
    <w:uiPriority w:val="0"/>
    <w:rPr>
      <w:rFonts w:eastAsiaTheme="minorEastAsia"/>
      <w:b/>
      <w:kern w:val="44"/>
      <w:sz w:val="44"/>
      <w:szCs w:val="28"/>
    </w:rPr>
  </w:style>
  <w:style w:type="character" w:customStyle="1" w:styleId="61">
    <w:name w:val="标题 2 Char"/>
    <w:basedOn w:val="52"/>
    <w:link w:val="4"/>
    <w:qFormat/>
    <w:uiPriority w:val="0"/>
    <w:rPr>
      <w:rFonts w:ascii="Arial" w:hAnsi="Arial" w:eastAsiaTheme="minorEastAsia"/>
      <w:b/>
      <w:bCs/>
      <w:kern w:val="2"/>
      <w:sz w:val="28"/>
      <w:szCs w:val="32"/>
    </w:rPr>
  </w:style>
  <w:style w:type="character" w:customStyle="1" w:styleId="62">
    <w:name w:val="标题 4 Char1"/>
    <w:basedOn w:val="52"/>
    <w:link w:val="5"/>
    <w:qFormat/>
    <w:uiPriority w:val="99"/>
    <w:rPr>
      <w:rFonts w:ascii="Arial" w:hAnsi="Arial" w:eastAsia="黑体"/>
      <w:b/>
      <w:bCs/>
      <w:kern w:val="2"/>
      <w:sz w:val="28"/>
      <w:szCs w:val="28"/>
    </w:rPr>
  </w:style>
  <w:style w:type="character" w:customStyle="1" w:styleId="63">
    <w:name w:val="正文缩进 Char"/>
    <w:link w:val="7"/>
    <w:qFormat/>
    <w:uiPriority w:val="0"/>
    <w:rPr>
      <w:rFonts w:eastAsia="宋体"/>
      <w:kern w:val="2"/>
      <w:sz w:val="21"/>
      <w:szCs w:val="24"/>
      <w:lang w:val="en-US" w:eastAsia="zh-CN" w:bidi="ar-SA"/>
    </w:rPr>
  </w:style>
  <w:style w:type="character" w:customStyle="1" w:styleId="64">
    <w:name w:val="标题 5 Char1"/>
    <w:basedOn w:val="52"/>
    <w:link w:val="6"/>
    <w:qFormat/>
    <w:uiPriority w:val="0"/>
    <w:rPr>
      <w:b/>
      <w:kern w:val="2"/>
      <w:sz w:val="28"/>
      <w:szCs w:val="24"/>
    </w:rPr>
  </w:style>
  <w:style w:type="character" w:customStyle="1" w:styleId="65">
    <w:name w:val="标题 6 Char1"/>
    <w:basedOn w:val="52"/>
    <w:link w:val="8"/>
    <w:qFormat/>
    <w:uiPriority w:val="9"/>
    <w:rPr>
      <w:rFonts w:ascii="Arial" w:hAnsi="Arial" w:eastAsia="黑体"/>
      <w:b/>
      <w:kern w:val="2"/>
      <w:sz w:val="24"/>
      <w:szCs w:val="24"/>
    </w:rPr>
  </w:style>
  <w:style w:type="character" w:customStyle="1" w:styleId="66">
    <w:name w:val="标题 7 Char1"/>
    <w:basedOn w:val="52"/>
    <w:link w:val="9"/>
    <w:qFormat/>
    <w:uiPriority w:val="9"/>
    <w:rPr>
      <w:b/>
      <w:kern w:val="2"/>
      <w:sz w:val="24"/>
      <w:szCs w:val="24"/>
    </w:rPr>
  </w:style>
  <w:style w:type="character" w:customStyle="1" w:styleId="67">
    <w:name w:val="标题 8 Char1"/>
    <w:basedOn w:val="52"/>
    <w:link w:val="10"/>
    <w:qFormat/>
    <w:uiPriority w:val="9"/>
    <w:rPr>
      <w:rFonts w:ascii="Arial" w:hAnsi="Arial" w:eastAsia="黑体"/>
      <w:kern w:val="2"/>
      <w:sz w:val="24"/>
      <w:szCs w:val="24"/>
    </w:rPr>
  </w:style>
  <w:style w:type="character" w:customStyle="1" w:styleId="68">
    <w:name w:val="标题 9 Char1"/>
    <w:basedOn w:val="52"/>
    <w:link w:val="11"/>
    <w:qFormat/>
    <w:uiPriority w:val="0"/>
    <w:rPr>
      <w:rFonts w:ascii="Arial" w:hAnsi="Arial" w:eastAsia="黑体"/>
      <w:kern w:val="2"/>
      <w:sz w:val="21"/>
      <w:szCs w:val="24"/>
    </w:rPr>
  </w:style>
  <w:style w:type="character" w:customStyle="1" w:styleId="69">
    <w:name w:val="批注文字 Char"/>
    <w:link w:val="18"/>
    <w:qFormat/>
    <w:uiPriority w:val="0"/>
    <w:rPr>
      <w:kern w:val="2"/>
      <w:sz w:val="21"/>
      <w:szCs w:val="24"/>
    </w:rPr>
  </w:style>
  <w:style w:type="character" w:customStyle="1" w:styleId="70">
    <w:name w:val="批注主题 Char"/>
    <w:basedOn w:val="69"/>
    <w:link w:val="47"/>
    <w:qFormat/>
    <w:uiPriority w:val="0"/>
    <w:rPr>
      <w:b/>
      <w:bCs/>
      <w:kern w:val="2"/>
      <w:sz w:val="21"/>
      <w:szCs w:val="24"/>
    </w:rPr>
  </w:style>
  <w:style w:type="character" w:customStyle="1" w:styleId="71">
    <w:name w:val="正文文本 Char"/>
    <w:basedOn w:val="52"/>
    <w:link w:val="20"/>
    <w:qFormat/>
    <w:uiPriority w:val="0"/>
    <w:rPr>
      <w:kern w:val="2"/>
      <w:sz w:val="21"/>
      <w:szCs w:val="24"/>
    </w:rPr>
  </w:style>
  <w:style w:type="character" w:customStyle="1" w:styleId="72">
    <w:name w:val="正文首行缩进 Char"/>
    <w:link w:val="48"/>
    <w:qFormat/>
    <w:uiPriority w:val="0"/>
    <w:rPr>
      <w:rFonts w:eastAsia="宋体"/>
      <w:kern w:val="2"/>
      <w:sz w:val="21"/>
      <w:szCs w:val="24"/>
      <w:lang w:val="en-US" w:eastAsia="zh-CN" w:bidi="ar-SA"/>
    </w:rPr>
  </w:style>
  <w:style w:type="character" w:customStyle="1" w:styleId="73">
    <w:name w:val="文档结构图 Char"/>
    <w:basedOn w:val="52"/>
    <w:link w:val="17"/>
    <w:qFormat/>
    <w:uiPriority w:val="0"/>
    <w:rPr>
      <w:kern w:val="2"/>
      <w:sz w:val="21"/>
      <w:szCs w:val="24"/>
      <w:shd w:val="clear" w:color="auto" w:fill="000080"/>
    </w:rPr>
  </w:style>
  <w:style w:type="character" w:customStyle="1" w:styleId="74">
    <w:name w:val="正文文本缩进 Char1"/>
    <w:basedOn w:val="52"/>
    <w:link w:val="21"/>
    <w:qFormat/>
    <w:uiPriority w:val="0"/>
    <w:rPr>
      <w:kern w:val="2"/>
      <w:sz w:val="21"/>
      <w:szCs w:val="24"/>
    </w:rPr>
  </w:style>
  <w:style w:type="character" w:customStyle="1" w:styleId="75">
    <w:name w:val="纯文本 Char"/>
    <w:link w:val="26"/>
    <w:qFormat/>
    <w:uiPriority w:val="0"/>
    <w:rPr>
      <w:rFonts w:ascii="宋体" w:hAnsi="Courier New" w:eastAsia="宋体"/>
      <w:kern w:val="2"/>
      <w:sz w:val="21"/>
      <w:lang w:val="en-US" w:eastAsia="zh-CN" w:bidi="ar-SA"/>
    </w:rPr>
  </w:style>
  <w:style w:type="character" w:customStyle="1" w:styleId="76">
    <w:name w:val="正文文本缩进 2 Char1"/>
    <w:link w:val="29"/>
    <w:qFormat/>
    <w:uiPriority w:val="0"/>
    <w:rPr>
      <w:kern w:val="2"/>
      <w:sz w:val="21"/>
      <w:szCs w:val="24"/>
    </w:rPr>
  </w:style>
  <w:style w:type="character" w:customStyle="1" w:styleId="77">
    <w:name w:val="批注框文本 Char"/>
    <w:basedOn w:val="52"/>
    <w:link w:val="30"/>
    <w:qFormat/>
    <w:uiPriority w:val="99"/>
    <w:rPr>
      <w:kern w:val="2"/>
      <w:sz w:val="18"/>
      <w:szCs w:val="18"/>
    </w:rPr>
  </w:style>
  <w:style w:type="character" w:customStyle="1" w:styleId="78">
    <w:name w:val="页脚 Char"/>
    <w:basedOn w:val="52"/>
    <w:link w:val="31"/>
    <w:qFormat/>
    <w:uiPriority w:val="99"/>
    <w:rPr>
      <w:kern w:val="2"/>
      <w:sz w:val="18"/>
      <w:szCs w:val="18"/>
    </w:rPr>
  </w:style>
  <w:style w:type="character" w:customStyle="1" w:styleId="79">
    <w:name w:val="页眉 Char"/>
    <w:link w:val="32"/>
    <w:qFormat/>
    <w:uiPriority w:val="99"/>
    <w:rPr>
      <w:kern w:val="2"/>
      <w:sz w:val="18"/>
      <w:szCs w:val="18"/>
    </w:rPr>
  </w:style>
  <w:style w:type="character" w:customStyle="1" w:styleId="80">
    <w:name w:val="HTML 预设格式 Char1"/>
    <w:link w:val="44"/>
    <w:qFormat/>
    <w:uiPriority w:val="0"/>
    <w:rPr>
      <w:rFonts w:ascii="宋体" w:hAnsi="宋体" w:cs="宋体"/>
      <w:sz w:val="24"/>
      <w:szCs w:val="24"/>
    </w:rPr>
  </w:style>
  <w:style w:type="character" w:customStyle="1" w:styleId="81">
    <w:name w:val="标题 Char"/>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26"/>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34"/>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Char1"/>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3"/>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首行缩进 2 Char"/>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Char1"/>
    <w:link w:val="15"/>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5"/>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Char1"/>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Char1"/>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Char1"/>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4"/>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6"/>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2"/>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5"/>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Char"/>
    <w:basedOn w:val="52"/>
    <w:link w:val="19"/>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Char"/>
    <w:link w:val="38"/>
    <w:qFormat/>
    <w:uiPriority w:val="0"/>
    <w:rPr>
      <w:kern w:val="2"/>
      <w:sz w:val="18"/>
      <w:szCs w:val="18"/>
    </w:rPr>
  </w:style>
  <w:style w:type="character" w:customStyle="1" w:styleId="464">
    <w:name w:val="正文首行缩进（绿盟科技） Char"/>
    <w:link w:val="465"/>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qFormat/>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qFormat/>
    <w:uiPriority w:val="0"/>
    <w:rPr>
      <w:rFonts w:ascii="宋体" w:hAnsi="Courier New"/>
      <w:szCs w:val="20"/>
    </w:rPr>
  </w:style>
  <w:style w:type="character" w:customStyle="1" w:styleId="481">
    <w:name w:val="脚注文本 Char2"/>
    <w:basedOn w:val="52"/>
    <w:semiHidden/>
    <w:uiPriority w:val="0"/>
    <w:rPr>
      <w:kern w:val="2"/>
      <w:sz w:val="18"/>
      <w:szCs w:val="18"/>
    </w:rPr>
  </w:style>
  <w:style w:type="paragraph" w:customStyle="1" w:styleId="482">
    <w:name w:val="_Style 56"/>
    <w:basedOn w:val="1"/>
    <w:next w:val="26"/>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9"/>
    <w:uiPriority w:val="0"/>
    <w:pPr>
      <w:adjustRightInd w:val="0"/>
      <w:snapToGrid w:val="0"/>
      <w:spacing w:line="300" w:lineRule="auto"/>
      <w:ind w:firstLine="630" w:firstLineChars="300"/>
    </w:pPr>
    <w:rPr>
      <w:snapToGrid w:val="0"/>
      <w:kern w:val="0"/>
    </w:rPr>
  </w:style>
  <w:style w:type="paragraph" w:customStyle="1" w:styleId="491">
    <w:name w:val="修订2"/>
    <w:semiHidden/>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qFormat/>
    <w:uiPriority w:val="0"/>
    <w:pPr>
      <w:adjustRightInd w:val="0"/>
      <w:snapToGrid w:val="0"/>
      <w:spacing w:line="300" w:lineRule="auto"/>
      <w:ind w:firstLine="630" w:firstLineChars="300"/>
    </w:pPr>
    <w:rPr>
      <w:snapToGrid w:val="0"/>
      <w:kern w:val="0"/>
    </w:rPr>
  </w:style>
  <w:style w:type="paragraph" w:customStyle="1" w:styleId="503">
    <w:name w:val="xl52"/>
    <w:basedOn w:val="1"/>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rPr>
  </w:style>
  <w:style w:type="character" w:customStyle="1" w:styleId="505">
    <w:name w:val="纯文本 Char2"/>
    <w:uiPriority w:val="99"/>
    <w:rPr>
      <w:rFonts w:ascii="宋体" w:hAnsi="Courier New"/>
      <w:kern w:val="2"/>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Info spid="_x0000_s3091"/>
    <customShpInfo spid="_x0000_s3090"/>
    <customShpInfo spid="_x0000_s3089"/>
    <customShpInfo spid="_x0000_s3088"/>
    <customShpInfo spid="_x0000_s3087"/>
    <customShpInfo spid="_x0000_s3086"/>
    <customShpInfo spid="_x0000_s3085"/>
    <customShpInfo spid="_x0000_s3084"/>
    <customShpInfo spid="_x0000_s3083"/>
    <customShpInfo spid="_x0000_s3082"/>
    <customShpInfo spid="_x0000_s3081"/>
    <customShpInfo spid="_x0000_s3080"/>
    <customShpInfo spid="_x0000_s3079"/>
    <customShpInfo spid="_x0000_s3078"/>
    <customShpInfo spid="_x0000_s3077"/>
    <customShpInfo spid="_x0000_s3096"/>
    <customShpInfo spid="_x0000_s3095"/>
    <customShpInfo spid="_x0000_s3093"/>
    <customShpInfo spid="_x0000_s309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2F200F-E022-41C6-B20C-856F35F40724}">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90</Pages>
  <Words>54766</Words>
  <Characters>57791</Characters>
  <Lines>84</Lines>
  <Paragraphs>126</Paragraphs>
  <TotalTime>14</TotalTime>
  <ScaleCrop>false</ScaleCrop>
  <LinksUpToDate>false</LinksUpToDate>
  <CharactersWithSpaces>60540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微软用户</dc:creator>
  <cp:lastModifiedBy>罗敏仪</cp:lastModifiedBy>
  <cp:lastPrinted>2020-05-26T01:03:00Z</cp:lastPrinted>
  <dcterms:modified xsi:type="dcterms:W3CDTF">2022-08-08T08:44:18Z</dcterms:modified>
  <dc:title>招标编号：UHO2010-G0029</dc:title>
  <cp:revision>492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653E1ADAB8DE46E295F27BC88681D41B</vt:lpwstr>
  </property>
</Properties>
</file>